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1BAB" w14:textId="216D085F" w:rsidR="008544AD" w:rsidRPr="0040443C" w:rsidRDefault="0040443C" w:rsidP="00D52D16">
      <w:r w:rsidRPr="0040443C">
        <w:rPr>
          <w:b/>
          <w:bCs/>
        </w:rPr>
        <w:t>Professional Development to</w:t>
      </w:r>
      <w:r>
        <w:t xml:space="preserve"> </w:t>
      </w:r>
      <w:r w:rsidR="008544AD" w:rsidRPr="008544AD">
        <w:rPr>
          <w:b/>
          <w:bCs/>
        </w:rPr>
        <w:t>Develop Teacher Leaders in Inquiry-Based Learning and Teaching</w:t>
      </w:r>
    </w:p>
    <w:p w14:paraId="4E54E7C1" w14:textId="52DBB755" w:rsidR="00122842" w:rsidRPr="005B2E88" w:rsidRDefault="005B2E88" w:rsidP="00D52D16">
      <w:r>
        <w:t xml:space="preserve">Given </w:t>
      </w:r>
      <w:r w:rsidR="00A71BB4">
        <w:t xml:space="preserve">that students who experience </w:t>
      </w:r>
      <w:r>
        <w:t>inquiry</w:t>
      </w:r>
      <w:r w:rsidR="00A71BB4">
        <w:t xml:space="preserve"> learning </w:t>
      </w:r>
      <w:r w:rsidR="00867A4E">
        <w:t xml:space="preserve">are shown to have </w:t>
      </w:r>
      <w:r w:rsidR="00A71BB4">
        <w:t xml:space="preserve">improved </w:t>
      </w:r>
      <w:r>
        <w:t>attitudes toward science</w:t>
      </w:r>
      <w:r w:rsidR="000E79CA">
        <w:t xml:space="preserve">, </w:t>
      </w:r>
      <w:r w:rsidR="00867A4E">
        <w:t xml:space="preserve">improved </w:t>
      </w:r>
      <w:r w:rsidR="00A71BB4">
        <w:t>abilit</w:t>
      </w:r>
      <w:r w:rsidR="00867A4E">
        <w:t>ies</w:t>
      </w:r>
      <w:r w:rsidR="00A71BB4">
        <w:t xml:space="preserve"> </w:t>
      </w:r>
      <w:r w:rsidR="000E79CA">
        <w:t xml:space="preserve">to </w:t>
      </w:r>
      <w:r w:rsidR="00A71BB4">
        <w:t>utilize</w:t>
      </w:r>
      <w:r w:rsidR="000E79CA">
        <w:t xml:space="preserve"> </w:t>
      </w:r>
      <w:r w:rsidR="000E79CA" w:rsidRPr="00867A4E">
        <w:t xml:space="preserve">science </w:t>
      </w:r>
      <w:r w:rsidR="000E79CA">
        <w:t>practices and processes</w:t>
      </w:r>
      <w:r w:rsidR="00A71BB4">
        <w:t xml:space="preserve"> </w:t>
      </w:r>
      <w:r w:rsidR="00A71BB4" w:rsidRPr="00867A4E">
        <w:t xml:space="preserve">to </w:t>
      </w:r>
      <w:r w:rsidR="00867A4E">
        <w:t xml:space="preserve">identify and explain physical phenomena, </w:t>
      </w:r>
      <w:r w:rsidR="00A71BB4">
        <w:t xml:space="preserve">and </w:t>
      </w:r>
      <w:r w:rsidR="00867A4E">
        <w:t>have better</w:t>
      </w:r>
      <w:r w:rsidR="00A71BB4">
        <w:t xml:space="preserve"> understanding of </w:t>
      </w:r>
      <w:r>
        <w:t xml:space="preserve">science </w:t>
      </w:r>
      <w:r w:rsidR="00A71BB4">
        <w:t>concepts</w:t>
      </w:r>
      <w:r>
        <w:t>, w</w:t>
      </w:r>
      <w:r w:rsidR="008544AD">
        <w:t xml:space="preserve">e propose professional development </w:t>
      </w:r>
      <w:r w:rsidR="00EA4D06" w:rsidRPr="000442CD">
        <w:t>in</w:t>
      </w:r>
      <w:r w:rsidR="006F707B" w:rsidRPr="000442CD">
        <w:t xml:space="preserve"> </w:t>
      </w:r>
      <w:r w:rsidR="000E79CA" w:rsidRPr="000442CD">
        <w:t>five</w:t>
      </w:r>
      <w:r w:rsidR="00A00270" w:rsidRPr="000442CD">
        <w:t xml:space="preserve"> (</w:t>
      </w:r>
      <w:r w:rsidR="000E79CA" w:rsidRPr="000442CD">
        <w:t>5</w:t>
      </w:r>
      <w:r w:rsidR="00A00270" w:rsidRPr="000442CD">
        <w:t>) areas</w:t>
      </w:r>
      <w:r w:rsidR="000E79CA" w:rsidRPr="000442CD">
        <w:t>.</w:t>
      </w:r>
      <w:r w:rsidR="00122842" w:rsidRPr="000442CD">
        <w:t xml:space="preserve"> </w:t>
      </w:r>
      <w:r w:rsidR="000E79CA" w:rsidRPr="000442CD">
        <w:t>W</w:t>
      </w:r>
      <w:r w:rsidR="00122842" w:rsidRPr="000442CD">
        <w:t xml:space="preserve">e </w:t>
      </w:r>
      <w:r w:rsidR="005C2EA7" w:rsidRPr="000442CD">
        <w:t>consider</w:t>
      </w:r>
      <w:r w:rsidR="00122842" w:rsidRPr="000442CD">
        <w:t xml:space="preserve"> </w:t>
      </w:r>
      <w:r w:rsidR="000E79CA" w:rsidRPr="000442CD">
        <w:t xml:space="preserve">these areas </w:t>
      </w:r>
      <w:r w:rsidR="00C13DD8" w:rsidRPr="000442CD">
        <w:t xml:space="preserve">a </w:t>
      </w:r>
      <w:r w:rsidR="00122842" w:rsidRPr="000442CD">
        <w:t xml:space="preserve">foundation </w:t>
      </w:r>
      <w:r w:rsidR="00A86936" w:rsidRPr="000442CD">
        <w:t>for</w:t>
      </w:r>
      <w:r w:rsidR="00122842" w:rsidRPr="000442CD">
        <w:t xml:space="preserve"> </w:t>
      </w:r>
      <w:r w:rsidR="00C13DD8" w:rsidRPr="000442CD">
        <w:t xml:space="preserve">learning to </w:t>
      </w:r>
      <w:r w:rsidR="000E79CA" w:rsidRPr="000442CD">
        <w:t>engag</w:t>
      </w:r>
      <w:r w:rsidR="00C13DD8" w:rsidRPr="000442CD">
        <w:t>e</w:t>
      </w:r>
      <w:r w:rsidR="000E79CA" w:rsidRPr="000442CD">
        <w:t xml:space="preserve"> </w:t>
      </w:r>
      <w:r w:rsidR="00122842" w:rsidRPr="000442CD">
        <w:t>students</w:t>
      </w:r>
      <w:r w:rsidR="00122842" w:rsidRPr="000A4FB8">
        <w:t xml:space="preserve"> in inquiry</w:t>
      </w:r>
      <w:r w:rsidR="00B45378">
        <w:t xml:space="preserve"> learning</w:t>
      </w:r>
      <w:r w:rsidR="000A4FB8" w:rsidRPr="000A4FB8">
        <w:t>.</w:t>
      </w:r>
      <w:r w:rsidR="003D1957">
        <w:t xml:space="preserve"> </w:t>
      </w:r>
    </w:p>
    <w:p w14:paraId="6D16D93F" w14:textId="2FA4E9C1" w:rsidR="00122842" w:rsidRDefault="00517588" w:rsidP="00122842">
      <w:pPr>
        <w:pStyle w:val="ListParagraph"/>
        <w:numPr>
          <w:ilvl w:val="0"/>
          <w:numId w:val="2"/>
        </w:numPr>
      </w:pPr>
      <w:r>
        <w:t xml:space="preserve">Experiencing </w:t>
      </w:r>
      <w:r w:rsidR="00797DD1">
        <w:t>Inquiry</w:t>
      </w:r>
      <w:r>
        <w:t xml:space="preserve"> Learning</w:t>
      </w:r>
    </w:p>
    <w:p w14:paraId="2201929A" w14:textId="524195FA" w:rsidR="00D53F70" w:rsidRDefault="000E79CA" w:rsidP="00122842">
      <w:pPr>
        <w:pStyle w:val="ListParagraph"/>
        <w:numPr>
          <w:ilvl w:val="0"/>
          <w:numId w:val="2"/>
        </w:numPr>
      </w:pPr>
      <w:r>
        <w:t>E</w:t>
      </w:r>
      <w:r w:rsidR="00D53F70">
        <w:t xml:space="preserve">ngaging, </w:t>
      </w:r>
      <w:r w:rsidR="00517588">
        <w:t>E</w:t>
      </w:r>
      <w:r w:rsidR="00D53F70">
        <w:t xml:space="preserve">xploring, and </w:t>
      </w:r>
      <w:r w:rsidR="00517588">
        <w:t>D</w:t>
      </w:r>
      <w:r w:rsidR="00D53F70">
        <w:t xml:space="preserve">eepening </w:t>
      </w:r>
      <w:r w:rsidR="00517588">
        <w:t>I</w:t>
      </w:r>
      <w:r w:rsidR="001E0F42">
        <w:t>nqui</w:t>
      </w:r>
      <w:r w:rsidR="000A4FB8">
        <w:t>ry</w:t>
      </w:r>
      <w:r w:rsidR="00867A4E">
        <w:t xml:space="preserve"> </w:t>
      </w:r>
    </w:p>
    <w:p w14:paraId="18519E35" w14:textId="7A081A13" w:rsidR="003E0A20" w:rsidRDefault="003E0A20" w:rsidP="003E0A20">
      <w:pPr>
        <w:pStyle w:val="ListParagraph"/>
        <w:numPr>
          <w:ilvl w:val="0"/>
          <w:numId w:val="2"/>
        </w:numPr>
      </w:pPr>
      <w:r>
        <w:t xml:space="preserve">Designing for </w:t>
      </w:r>
      <w:r w:rsidR="00517588">
        <w:t>I</w:t>
      </w:r>
      <w:r>
        <w:t>nquiry</w:t>
      </w:r>
      <w:r w:rsidR="00517588">
        <w:t xml:space="preserve"> I</w:t>
      </w:r>
      <w:r>
        <w:t xml:space="preserve"> </w:t>
      </w:r>
    </w:p>
    <w:p w14:paraId="1DB4C612" w14:textId="526D792D" w:rsidR="005C2EA7" w:rsidRDefault="000E79CA" w:rsidP="000E79CA">
      <w:pPr>
        <w:pStyle w:val="ListParagraph"/>
        <w:numPr>
          <w:ilvl w:val="0"/>
          <w:numId w:val="2"/>
        </w:numPr>
      </w:pPr>
      <w:r>
        <w:t>S</w:t>
      </w:r>
      <w:r w:rsidR="00EA4D06">
        <w:t>eeing</w:t>
      </w:r>
      <w:r w:rsidR="00691349">
        <w:t xml:space="preserve"> </w:t>
      </w:r>
      <w:r w:rsidR="00867A4E" w:rsidRPr="00867A4E">
        <w:t>and Describing</w:t>
      </w:r>
      <w:r w:rsidR="00867A4E">
        <w:t xml:space="preserve"> </w:t>
      </w:r>
      <w:r w:rsidR="00517588">
        <w:t>I</w:t>
      </w:r>
      <w:r w:rsidR="003D1957">
        <w:t>nquiry</w:t>
      </w:r>
      <w:r w:rsidR="00D53F70">
        <w:t xml:space="preserve"> </w:t>
      </w:r>
    </w:p>
    <w:p w14:paraId="2F05DE31" w14:textId="12A26543" w:rsidR="00122842" w:rsidRDefault="000E79CA" w:rsidP="00122842">
      <w:pPr>
        <w:pStyle w:val="ListParagraph"/>
        <w:numPr>
          <w:ilvl w:val="0"/>
          <w:numId w:val="2"/>
        </w:numPr>
      </w:pPr>
      <w:r>
        <w:t>D</w:t>
      </w:r>
      <w:r w:rsidR="00D53F70">
        <w:t>ocument</w:t>
      </w:r>
      <w:r w:rsidR="00696EC7">
        <w:t>ing</w:t>
      </w:r>
      <w:r w:rsidR="00691349">
        <w:t xml:space="preserve"> </w:t>
      </w:r>
      <w:r w:rsidR="005D3F8D" w:rsidRPr="00966AD5">
        <w:t xml:space="preserve">and </w:t>
      </w:r>
      <w:r w:rsidR="00966AD5">
        <w:t>A</w:t>
      </w:r>
      <w:r w:rsidR="005D3F8D" w:rsidRPr="00966AD5">
        <w:t>ssess</w:t>
      </w:r>
      <w:r w:rsidR="00696EC7" w:rsidRPr="00966AD5">
        <w:t>ing</w:t>
      </w:r>
      <w:r w:rsidR="005D3F8D">
        <w:t xml:space="preserve"> </w:t>
      </w:r>
      <w:r w:rsidR="00517588">
        <w:t>I</w:t>
      </w:r>
      <w:r w:rsidR="005D3F8D">
        <w:t xml:space="preserve">nquiry </w:t>
      </w:r>
      <w:r w:rsidR="00966AD5">
        <w:t>Learning</w:t>
      </w:r>
    </w:p>
    <w:p w14:paraId="4DAD53D2" w14:textId="77777777" w:rsidR="000A4FB8" w:rsidRDefault="001E0F42" w:rsidP="000A4FB8">
      <w:pPr>
        <w:keepNext/>
      </w:pPr>
      <w:r>
        <w:rPr>
          <w:noProof/>
        </w:rPr>
        <w:drawing>
          <wp:inline distT="0" distB="0" distL="0" distR="0" wp14:anchorId="39B7BDF4" wp14:editId="09CDFE10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81726B6" w14:textId="02278C6B" w:rsidR="00A86936" w:rsidRDefault="000A4FB8" w:rsidP="000A4FB8">
      <w:pPr>
        <w:pStyle w:val="Caption"/>
      </w:pPr>
      <w:r>
        <w:t xml:space="preserve">Figure </w:t>
      </w:r>
      <w:fldSimple w:instr=" SEQ Figure \* ARABIC ">
        <w:r w:rsidR="00807E12">
          <w:rPr>
            <w:noProof/>
          </w:rPr>
          <w:t>1</w:t>
        </w:r>
      </w:fldSimple>
      <w:r>
        <w:t>: Professional Development to Engage Students in Inquiry Learning</w:t>
      </w:r>
    </w:p>
    <w:p w14:paraId="42429294" w14:textId="19B5099F" w:rsidR="007522A0" w:rsidRPr="007522A0" w:rsidRDefault="007522A0" w:rsidP="007522A0">
      <w:r>
        <w:t>Chart 1 below presents a synopsis of each professional development module.</w:t>
      </w:r>
    </w:p>
    <w:p w14:paraId="0D19F591" w14:textId="7D52E4F7" w:rsidR="00443EB8" w:rsidRDefault="00443EB8" w:rsidP="00D52D16"/>
    <w:p w14:paraId="7026E5CB" w14:textId="1F4A8593" w:rsidR="00443EB8" w:rsidRDefault="00443EB8" w:rsidP="00D52D16"/>
    <w:p w14:paraId="08F31061" w14:textId="6FC800A6" w:rsidR="00443EB8" w:rsidRDefault="00443EB8" w:rsidP="00D52D16"/>
    <w:p w14:paraId="66CDCEF9" w14:textId="008A0B3D" w:rsidR="00443EB8" w:rsidRDefault="00443EB8" w:rsidP="00D52D16"/>
    <w:p w14:paraId="4ADDE266" w14:textId="77777777" w:rsidR="00443EB8" w:rsidRDefault="00443EB8" w:rsidP="00D52D16"/>
    <w:p w14:paraId="18AEF29D" w14:textId="50A8875C" w:rsidR="00215723" w:rsidRDefault="00215723" w:rsidP="00D52D16">
      <w:r>
        <w:lastRenderedPageBreak/>
        <w:t>Chart 1 – A synopsis of each professional development module.</w:t>
      </w:r>
    </w:p>
    <w:tbl>
      <w:tblPr>
        <w:tblW w:w="9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10"/>
        <w:gridCol w:w="6840"/>
      </w:tblGrid>
      <w:tr w:rsidR="00443EB8" w:rsidRPr="00443EB8" w14:paraId="082CA02D" w14:textId="77777777" w:rsidTr="005D4F15">
        <w:trPr>
          <w:trHeight w:val="26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4C9C84" w14:textId="58C9EB29" w:rsidR="00443EB8" w:rsidRPr="00443EB8" w:rsidRDefault="009E60C8" w:rsidP="009E60C8">
            <w:pPr>
              <w:jc w:val="center"/>
            </w:pPr>
            <w:r>
              <w:rPr>
                <w:b/>
                <w:bCs/>
              </w:rPr>
              <w:t>Module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D5AAE" w14:textId="77777777" w:rsidR="00443EB8" w:rsidRPr="00443EB8" w:rsidRDefault="00443EB8" w:rsidP="007522A0">
            <w:pPr>
              <w:spacing w:after="0"/>
              <w:jc w:val="center"/>
            </w:pPr>
            <w:r w:rsidRPr="00443EB8">
              <w:rPr>
                <w:b/>
                <w:bCs/>
              </w:rPr>
              <w:t>Description</w:t>
            </w:r>
          </w:p>
        </w:tc>
      </w:tr>
      <w:tr w:rsidR="00443EB8" w:rsidRPr="00443EB8" w14:paraId="407E31E5" w14:textId="77777777" w:rsidTr="005D4F15">
        <w:trPr>
          <w:trHeight w:val="876"/>
        </w:trPr>
        <w:tc>
          <w:tcPr>
            <w:tcW w:w="2510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9A575" w14:textId="77777777" w:rsidR="00443EB8" w:rsidRPr="00443EB8" w:rsidRDefault="00443EB8" w:rsidP="00CD5EE0">
            <w:pPr>
              <w:spacing w:after="0"/>
            </w:pPr>
            <w:r w:rsidRPr="00443EB8">
              <w:rPr>
                <w:b/>
                <w:bCs/>
              </w:rPr>
              <w:t>Experiencing</w:t>
            </w:r>
            <w:r w:rsidRPr="00443EB8">
              <w:t xml:space="preserve"> </w:t>
            </w:r>
            <w:r w:rsidRPr="00443EB8">
              <w:rPr>
                <w:b/>
                <w:bCs/>
              </w:rPr>
              <w:t>Inquiry/Exploratory Learning</w:t>
            </w:r>
          </w:p>
        </w:tc>
        <w:tc>
          <w:tcPr>
            <w:tcW w:w="6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D3B72" w14:textId="145EAC46" w:rsidR="00443EB8" w:rsidRPr="00443EB8" w:rsidRDefault="00443EB8" w:rsidP="00CD5EE0">
            <w:pPr>
              <w:spacing w:after="0" w:line="240" w:lineRule="auto"/>
            </w:pPr>
            <w:r w:rsidRPr="00443EB8">
              <w:t>T</w:t>
            </w:r>
            <w:r w:rsidR="00CD5EE0">
              <w:t>eachers</w:t>
            </w:r>
            <w:r w:rsidRPr="00443EB8">
              <w:t xml:space="preserve"> experience inquiry/exploratory learning</w:t>
            </w:r>
            <w:r w:rsidR="00CD5EE0">
              <w:t xml:space="preserve"> and reflect on their experience through the framework of a three-part </w:t>
            </w:r>
            <w:r w:rsidR="009E60C8">
              <w:t>Inquiry Learning Cycle</w:t>
            </w:r>
            <w:r w:rsidR="000B6D1A">
              <w:t xml:space="preserve">—Exploration, Investigation, Sense-Making. </w:t>
            </w:r>
            <w:r w:rsidR="00CD5EE0">
              <w:t xml:space="preserve"> </w:t>
            </w:r>
            <w:r w:rsidR="009E60C8">
              <w:t xml:space="preserve"> </w:t>
            </w:r>
          </w:p>
        </w:tc>
      </w:tr>
      <w:tr w:rsidR="00443EB8" w:rsidRPr="00443EB8" w14:paraId="0E4F09B0" w14:textId="77777777" w:rsidTr="005D4F15">
        <w:trPr>
          <w:trHeight w:val="898"/>
        </w:trPr>
        <w:tc>
          <w:tcPr>
            <w:tcW w:w="251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5D1ADE" w14:textId="6943946B" w:rsidR="00443EB8" w:rsidRPr="005D4F15" w:rsidRDefault="009E60C8" w:rsidP="00443EB8">
            <w:pPr>
              <w:rPr>
                <w:b/>
                <w:bCs/>
              </w:rPr>
            </w:pPr>
            <w:r w:rsidRPr="005D4F15">
              <w:rPr>
                <w:b/>
                <w:bCs/>
              </w:rPr>
              <w:t xml:space="preserve">Engaging, Exploring and Deepening </w:t>
            </w:r>
            <w:r w:rsidR="00443EB8" w:rsidRPr="00443EB8">
              <w:rPr>
                <w:b/>
                <w:bCs/>
              </w:rPr>
              <w:t xml:space="preserve"> </w:t>
            </w:r>
            <w:r w:rsidRPr="005D4F15">
              <w:rPr>
                <w:b/>
                <w:bCs/>
              </w:rPr>
              <w:t>Inquiry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DC9BBA" w14:textId="12302F4C" w:rsidR="00443EB8" w:rsidRPr="00443EB8" w:rsidRDefault="00443EB8" w:rsidP="009E60C8">
            <w:pPr>
              <w:spacing w:after="0"/>
            </w:pPr>
            <w:r w:rsidRPr="00443EB8">
              <w:t>T</w:t>
            </w:r>
            <w:r w:rsidR="000B6D1A">
              <w:t>he emphasis here is on exploring. T</w:t>
            </w:r>
            <w:r w:rsidRPr="00443EB8">
              <w:t>eachers devise ways to</w:t>
            </w:r>
            <w:r w:rsidR="009E60C8">
              <w:t xml:space="preserve"> engage students with </w:t>
            </w:r>
            <w:r w:rsidR="00CD5EE0">
              <w:t>selected physical</w:t>
            </w:r>
            <w:r w:rsidR="000B6D1A">
              <w:t xml:space="preserve"> </w:t>
            </w:r>
            <w:r w:rsidR="009E60C8">
              <w:t>phenomena</w:t>
            </w:r>
            <w:r w:rsidR="00CD5EE0">
              <w:t xml:space="preserve"> and </w:t>
            </w:r>
            <w:r w:rsidR="009E60C8">
              <w:t>explore</w:t>
            </w:r>
            <w:r w:rsidR="00CD5EE0">
              <w:t xml:space="preserve"> the different observations, questions, and ideas that students have about the phenomenon. </w:t>
            </w:r>
          </w:p>
        </w:tc>
      </w:tr>
      <w:tr w:rsidR="006C2842" w:rsidRPr="00443EB8" w14:paraId="28418E26" w14:textId="77777777" w:rsidTr="005D4F15">
        <w:trPr>
          <w:trHeight w:val="691"/>
        </w:trPr>
        <w:tc>
          <w:tcPr>
            <w:tcW w:w="251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240969" w14:textId="36AAF72E" w:rsidR="006C2842" w:rsidRPr="005D4F15" w:rsidRDefault="006C2842" w:rsidP="006C2842">
            <w:pPr>
              <w:rPr>
                <w:b/>
                <w:bCs/>
              </w:rPr>
            </w:pPr>
            <w:r w:rsidRPr="00443EB8">
              <w:rPr>
                <w:b/>
                <w:bCs/>
              </w:rPr>
              <w:t>Designing for Inquiry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9C46F" w14:textId="1BCBA6B9" w:rsidR="006C2842" w:rsidRPr="00443EB8" w:rsidRDefault="000B6D1A" w:rsidP="006C2842">
            <w:pPr>
              <w:spacing w:after="0" w:line="240" w:lineRule="auto"/>
            </w:pPr>
            <w:r>
              <w:t>The emphasis here is on investigation</w:t>
            </w:r>
            <w:r w:rsidR="00224AAD">
              <w:t xml:space="preserve"> to support inquiry</w:t>
            </w:r>
            <w:r>
              <w:t xml:space="preserve">. </w:t>
            </w:r>
            <w:r w:rsidR="006C2842" w:rsidRPr="00443EB8">
              <w:t xml:space="preserve">Teachers </w:t>
            </w:r>
            <w:r w:rsidR="006C2842">
              <w:t xml:space="preserve">consider how they might re-work </w:t>
            </w:r>
            <w:r>
              <w:t xml:space="preserve">an </w:t>
            </w:r>
            <w:r w:rsidR="006C2842">
              <w:t>existing activit</w:t>
            </w:r>
            <w:r>
              <w:t>y</w:t>
            </w:r>
            <w:r w:rsidR="006C2842" w:rsidRPr="00443EB8">
              <w:t xml:space="preserve"> to engage students in scientific inquiry</w:t>
            </w:r>
            <w:r w:rsidR="007A74DE">
              <w:t xml:space="preserve">-in which they explore a scientific phenomenon, design an investigation to gather data, and use data to generate </w:t>
            </w:r>
            <w:r>
              <w:t xml:space="preserve">insights into </w:t>
            </w:r>
            <w:r w:rsidR="007A74DE">
              <w:t>the phenomenon</w:t>
            </w:r>
            <w:r w:rsidR="006C2842">
              <w:t>.</w:t>
            </w:r>
            <w:r w:rsidR="006C2842" w:rsidRPr="00443EB8">
              <w:t xml:space="preserve"> </w:t>
            </w:r>
          </w:p>
        </w:tc>
      </w:tr>
      <w:tr w:rsidR="006C2842" w:rsidRPr="00443EB8" w14:paraId="488A9106" w14:textId="77777777" w:rsidTr="005D4F15">
        <w:trPr>
          <w:trHeight w:val="997"/>
        </w:trPr>
        <w:tc>
          <w:tcPr>
            <w:tcW w:w="251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195E52" w14:textId="6C9A6A05" w:rsidR="006C2842" w:rsidRPr="00443EB8" w:rsidRDefault="006C2842" w:rsidP="006C2842">
            <w:pPr>
              <w:spacing w:line="240" w:lineRule="auto"/>
              <w:rPr>
                <w:b/>
                <w:bCs/>
              </w:rPr>
            </w:pPr>
            <w:r w:rsidRPr="00443EB8">
              <w:rPr>
                <w:b/>
                <w:bCs/>
              </w:rPr>
              <w:t xml:space="preserve">Seeing </w:t>
            </w:r>
            <w:r w:rsidRPr="005D4F15">
              <w:rPr>
                <w:b/>
                <w:bCs/>
              </w:rPr>
              <w:t>&amp; Describing I</w:t>
            </w:r>
            <w:r w:rsidRPr="00443EB8">
              <w:rPr>
                <w:b/>
                <w:bCs/>
              </w:rPr>
              <w:t xml:space="preserve">nquiry 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43AA5" w14:textId="3DF62292" w:rsidR="006C2842" w:rsidRPr="00443EB8" w:rsidRDefault="006C2842" w:rsidP="006C2842">
            <w:pPr>
              <w:spacing w:after="0"/>
            </w:pPr>
            <w:r w:rsidRPr="00443EB8">
              <w:t>T</w:t>
            </w:r>
            <w:r w:rsidR="000B6D1A">
              <w:t>he emphasis here is on sense-making</w:t>
            </w:r>
            <w:r w:rsidR="00224AAD">
              <w:t xml:space="preserve"> of learning</w:t>
            </w:r>
            <w:r w:rsidR="000B6D1A">
              <w:t>. T</w:t>
            </w:r>
            <w:r w:rsidRPr="00443EB8">
              <w:t xml:space="preserve">eachers share </w:t>
            </w:r>
            <w:r>
              <w:t xml:space="preserve">artifacts generated by inquiry teaching. The artifacts might be student work products or classroom videotapes that show episodes of teaching and learning. Teachers look collaboratively to find </w:t>
            </w:r>
            <w:r w:rsidRPr="00443EB8">
              <w:t>evidence of inquiry</w:t>
            </w:r>
            <w:r>
              <w:t xml:space="preserve">; they describe what they see as evidence of inquiry. </w:t>
            </w:r>
          </w:p>
        </w:tc>
      </w:tr>
      <w:tr w:rsidR="006C2842" w:rsidRPr="00443EB8" w14:paraId="53B07471" w14:textId="77777777" w:rsidTr="005D4F15">
        <w:trPr>
          <w:trHeight w:val="970"/>
        </w:trPr>
        <w:tc>
          <w:tcPr>
            <w:tcW w:w="251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EB364" w14:textId="7A6CE465" w:rsidR="006C2842" w:rsidRPr="00443EB8" w:rsidRDefault="006C2842" w:rsidP="006C2842">
            <w:pPr>
              <w:rPr>
                <w:b/>
                <w:bCs/>
              </w:rPr>
            </w:pPr>
            <w:r w:rsidRPr="005D4F15">
              <w:rPr>
                <w:b/>
                <w:bCs/>
              </w:rPr>
              <w:t>Documenting &amp; Assessing</w:t>
            </w:r>
            <w:r w:rsidRPr="00443EB8">
              <w:rPr>
                <w:b/>
                <w:bCs/>
              </w:rPr>
              <w:t xml:space="preserve"> </w:t>
            </w:r>
            <w:r w:rsidRPr="005D4F15">
              <w:rPr>
                <w:b/>
                <w:bCs/>
              </w:rPr>
              <w:t>I</w:t>
            </w:r>
            <w:r w:rsidRPr="00443EB8">
              <w:rPr>
                <w:b/>
                <w:bCs/>
              </w:rPr>
              <w:t xml:space="preserve">nquiry </w:t>
            </w:r>
            <w:r w:rsidRPr="005D4F15">
              <w:rPr>
                <w:b/>
                <w:bCs/>
              </w:rPr>
              <w:t>L</w:t>
            </w:r>
            <w:r w:rsidRPr="00443EB8">
              <w:rPr>
                <w:b/>
                <w:bCs/>
              </w:rPr>
              <w:t xml:space="preserve">earning </w:t>
            </w:r>
          </w:p>
        </w:tc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4D873" w14:textId="2A49830F" w:rsidR="006C2842" w:rsidRPr="00443EB8" w:rsidRDefault="006C2842" w:rsidP="007522A0">
            <w:pPr>
              <w:spacing w:after="0"/>
            </w:pPr>
            <w:r>
              <w:t xml:space="preserve">Teachers explore </w:t>
            </w:r>
            <w:r w:rsidR="00224AAD">
              <w:t>ways</w:t>
            </w:r>
            <w:r>
              <w:t xml:space="preserve"> </w:t>
            </w:r>
            <w:r w:rsidR="007522A0">
              <w:t>to document</w:t>
            </w:r>
            <w:r w:rsidR="00224AAD">
              <w:t>, assess,</w:t>
            </w:r>
            <w:r w:rsidR="007522A0">
              <w:t xml:space="preserve"> and support students’ inquiry learning.</w:t>
            </w:r>
          </w:p>
        </w:tc>
      </w:tr>
    </w:tbl>
    <w:p w14:paraId="238AA37F" w14:textId="77777777" w:rsidR="00215723" w:rsidRDefault="00215723" w:rsidP="00D52D16"/>
    <w:p w14:paraId="2A5E086B" w14:textId="77777777" w:rsidR="008B3D64" w:rsidRDefault="008B3D64" w:rsidP="00D52D16"/>
    <w:p w14:paraId="1AE8BF32" w14:textId="4FCC8ADF" w:rsidR="00BB2D6F" w:rsidRDefault="000A4FB8" w:rsidP="00D52D16">
      <w:r w:rsidRPr="00C13DD8">
        <w:t>Each p</w:t>
      </w:r>
      <w:r w:rsidR="001746E8" w:rsidRPr="00C13DD8">
        <w:t>rofessional development module</w:t>
      </w:r>
      <w:r w:rsidR="000442CD">
        <w:t xml:space="preserve"> has </w:t>
      </w:r>
      <w:r w:rsidR="00C13DD8" w:rsidRPr="000442CD">
        <w:t>a specific focus</w:t>
      </w:r>
      <w:r w:rsidR="000442CD">
        <w:t xml:space="preserve">. </w:t>
      </w:r>
      <w:r w:rsidR="00A74D64">
        <w:t>Each module</w:t>
      </w:r>
      <w:r w:rsidR="000442CD">
        <w:t xml:space="preserve"> will </w:t>
      </w:r>
      <w:r w:rsidR="00A74D64">
        <w:t xml:space="preserve">also </w:t>
      </w:r>
      <w:r w:rsidR="000442CD">
        <w:t>include some aspect of</w:t>
      </w:r>
      <w:r w:rsidR="00A86936" w:rsidRPr="00C13DD8">
        <w:t xml:space="preserve"> </w:t>
      </w:r>
      <w:r w:rsidR="00691349" w:rsidRPr="00C13DD8">
        <w:rPr>
          <w:i/>
          <w:iCs/>
        </w:rPr>
        <w:t>all</w:t>
      </w:r>
      <w:r w:rsidR="001746E8" w:rsidRPr="00C13DD8">
        <w:t xml:space="preserve"> </w:t>
      </w:r>
      <w:r w:rsidR="00691349" w:rsidRPr="00C13DD8">
        <w:t>areas</w:t>
      </w:r>
      <w:r w:rsidR="00A86936" w:rsidRPr="00C13DD8">
        <w:t>.</w:t>
      </w:r>
      <w:r w:rsidR="000E79CA" w:rsidRPr="000E79CA">
        <w:t xml:space="preserve"> </w:t>
      </w:r>
      <w:r w:rsidR="000E79CA">
        <w:t>Professional development</w:t>
      </w:r>
      <w:r w:rsidR="00481A9F">
        <w:t xml:space="preserve"> a</w:t>
      </w:r>
      <w:r w:rsidR="00C669D2">
        <w:t xml:space="preserve">ligns with </w:t>
      </w:r>
      <w:r w:rsidR="00481A9F">
        <w:t>local, state</w:t>
      </w:r>
      <w:r w:rsidR="005C2EA7">
        <w:t>,</w:t>
      </w:r>
      <w:r w:rsidR="00481A9F">
        <w:t xml:space="preserve"> and national s</w:t>
      </w:r>
      <w:r w:rsidR="00481A9F" w:rsidRPr="00481A9F">
        <w:t>tandards for science learning and teaching</w:t>
      </w:r>
      <w:r w:rsidR="00481A9F">
        <w:t>.</w:t>
      </w:r>
      <w:r w:rsidR="005C2EA7">
        <w:t xml:space="preserve"> </w:t>
      </w:r>
    </w:p>
    <w:p w14:paraId="6A9E9FEA" w14:textId="378AF816" w:rsidR="00A337AA" w:rsidRDefault="00560060" w:rsidP="00D52D16">
      <w:r>
        <w:t>Below</w:t>
      </w:r>
      <w:r w:rsidR="00696EC7">
        <w:t xml:space="preserve"> is a sample schedule </w:t>
      </w:r>
      <w:r w:rsidR="000442CD">
        <w:t xml:space="preserve">that shows the focus areas </w:t>
      </w:r>
      <w:r w:rsidR="00696EC7">
        <w:t>for working with teachers over the course of an academic year</w:t>
      </w:r>
      <w:r w:rsidR="003E0A20">
        <w:t>.  The schedule</w:t>
      </w:r>
      <w:r w:rsidR="009F1E37">
        <w:t xml:space="preserve"> </w:t>
      </w:r>
      <w:r w:rsidR="00696EC7">
        <w:t xml:space="preserve">begins </w:t>
      </w:r>
      <w:r w:rsidR="00BB2D6F">
        <w:t>with a</w:t>
      </w:r>
      <w:r w:rsidR="00A74D64">
        <w:t xml:space="preserve"> summer I</w:t>
      </w:r>
      <w:r w:rsidR="00BB2D6F">
        <w:t>nquiry</w:t>
      </w:r>
      <w:r w:rsidR="00BB2D6F" w:rsidRPr="00330986">
        <w:rPr>
          <w:strike/>
        </w:rPr>
        <w:t xml:space="preserve"> </w:t>
      </w:r>
      <w:r w:rsidR="00BB2D6F">
        <w:t xml:space="preserve">Institute </w:t>
      </w:r>
      <w:r w:rsidR="00A74D64">
        <w:t xml:space="preserve">that is followed by </w:t>
      </w:r>
      <w:r w:rsidR="00BB2D6F">
        <w:t xml:space="preserve">three 2-hour sessions </w:t>
      </w:r>
      <w:r w:rsidR="000442CD">
        <w:t xml:space="preserve">in </w:t>
      </w:r>
      <w:r w:rsidR="00BB2D6F">
        <w:t xml:space="preserve">the </w:t>
      </w:r>
      <w:r w:rsidR="00330986">
        <w:t>f</w:t>
      </w:r>
      <w:r w:rsidR="00BB2D6F">
        <w:t xml:space="preserve">all and </w:t>
      </w:r>
      <w:r w:rsidR="000442CD">
        <w:t xml:space="preserve">three two-hour sessions in the </w:t>
      </w:r>
      <w:r w:rsidR="00330986">
        <w:t>s</w:t>
      </w:r>
      <w:r w:rsidR="00BB2D6F">
        <w:t>pring</w:t>
      </w:r>
      <w:r w:rsidR="00517588" w:rsidRPr="00A74D64">
        <w:t>. Th</w:t>
      </w:r>
      <w:r w:rsidR="00A74D64" w:rsidRPr="00A74D64">
        <w:t>is</w:t>
      </w:r>
      <w:r w:rsidR="00517588" w:rsidRPr="00A74D64">
        <w:t xml:space="preserve"> p</w:t>
      </w:r>
      <w:r w:rsidR="00A74D64" w:rsidRPr="00A74D64">
        <w:t>rofessional development</w:t>
      </w:r>
      <w:r w:rsidR="00330986" w:rsidRPr="00A74D64">
        <w:t xml:space="preserve"> </w:t>
      </w:r>
      <w:r w:rsidR="00A74D64" w:rsidRPr="00A74D64">
        <w:t xml:space="preserve">proposal </w:t>
      </w:r>
      <w:r w:rsidR="00330986" w:rsidRPr="00A74D64">
        <w:t>concludes</w:t>
      </w:r>
      <w:r w:rsidR="00330986">
        <w:t xml:space="preserve"> with a</w:t>
      </w:r>
      <w:r w:rsidR="000442CD">
        <w:t>n</w:t>
      </w:r>
      <w:r w:rsidR="00330986">
        <w:t xml:space="preserve"> Inquir</w:t>
      </w:r>
      <w:r w:rsidR="00C13DD8">
        <w:t xml:space="preserve">y </w:t>
      </w:r>
      <w:r w:rsidR="00330986">
        <w:t xml:space="preserve">Institute the </w:t>
      </w:r>
      <w:r w:rsidR="00A74D64">
        <w:t xml:space="preserve">next </w:t>
      </w:r>
      <w:r w:rsidR="00330986">
        <w:t xml:space="preserve">summer. </w:t>
      </w:r>
      <w:r w:rsidR="00BB2D6F">
        <w:t>The schedule</w:t>
      </w:r>
      <w:r w:rsidR="00330986">
        <w:t xml:space="preserve"> </w:t>
      </w:r>
      <w:r w:rsidR="00696EC7" w:rsidRPr="009F1E37">
        <w:t>can be re</w:t>
      </w:r>
      <w:r w:rsidR="00BB2D6F">
        <w:t xml:space="preserve">-worked </w:t>
      </w:r>
      <w:r w:rsidR="00696EC7" w:rsidRPr="009F1E37">
        <w:t xml:space="preserve">to start in </w:t>
      </w:r>
      <w:r w:rsidR="009F1E37" w:rsidRPr="009F1E37">
        <w:t xml:space="preserve">either </w:t>
      </w:r>
      <w:r w:rsidR="003E0A20">
        <w:t>fall</w:t>
      </w:r>
      <w:r w:rsidR="00BB2D6F">
        <w:t xml:space="preserve"> or</w:t>
      </w:r>
      <w:r w:rsidR="003E0A20">
        <w:t xml:space="preserve"> </w:t>
      </w:r>
      <w:r w:rsidR="009F1E37" w:rsidRPr="009F1E37">
        <w:t>spring</w:t>
      </w:r>
      <w:r w:rsidR="009F1E37">
        <w:t>.</w:t>
      </w:r>
      <w:r w:rsidR="009F1E37" w:rsidRPr="009F1E37">
        <w:t xml:space="preserve"> </w:t>
      </w:r>
      <w:r w:rsidR="00517588">
        <w:t>Additional professional development is available for teachers who complete the inquiry program.</w:t>
      </w:r>
    </w:p>
    <w:p w14:paraId="6C5DB108" w14:textId="77777777" w:rsidR="00215723" w:rsidRDefault="00215723" w:rsidP="00D52D16"/>
    <w:p w14:paraId="615D6D3A" w14:textId="77777777" w:rsidR="00215723" w:rsidRPr="007522A0" w:rsidRDefault="00215723" w:rsidP="00D52D16"/>
    <w:p w14:paraId="3978C0A5" w14:textId="7D0F7AD5" w:rsidR="003E0A20" w:rsidRDefault="003E0A20" w:rsidP="00D52D16">
      <w:pPr>
        <w:rPr>
          <w:b/>
          <w:bCs/>
        </w:rPr>
      </w:pPr>
      <w:r>
        <w:rPr>
          <w:b/>
          <w:bCs/>
        </w:rPr>
        <w:t xml:space="preserve">Summer </w:t>
      </w:r>
      <w:r w:rsidR="00BB2D6F" w:rsidRPr="007522A0">
        <w:t>(A</w:t>
      </w:r>
      <w:r w:rsidR="007522A0" w:rsidRPr="007522A0">
        <w:t xml:space="preserve">n </w:t>
      </w:r>
      <w:r w:rsidR="00BB2D6F" w:rsidRPr="007522A0">
        <w:t>Inquiry Learning Institute)</w:t>
      </w:r>
      <w:r w:rsidR="00BB2D6F">
        <w:rPr>
          <w:b/>
          <w:bCs/>
        </w:rPr>
        <w:t xml:space="preserve"> </w:t>
      </w:r>
    </w:p>
    <w:p w14:paraId="11C1AADD" w14:textId="7D53BEB9" w:rsidR="003E0A20" w:rsidRPr="003E0A20" w:rsidRDefault="00BB2D6F" w:rsidP="00D52D16">
      <w:pPr>
        <w:pStyle w:val="ListParagraph"/>
        <w:numPr>
          <w:ilvl w:val="0"/>
          <w:numId w:val="6"/>
        </w:numPr>
      </w:pPr>
      <w:r>
        <w:t>I</w:t>
      </w:r>
      <w:r w:rsidR="003E0A20" w:rsidRPr="003E0A20">
        <w:t>nquiry</w:t>
      </w:r>
      <w:r>
        <w:t xml:space="preserve"> Institute</w:t>
      </w:r>
      <w:r w:rsidR="00330986">
        <w:t xml:space="preserve"> I</w:t>
      </w:r>
    </w:p>
    <w:p w14:paraId="10EDAE11" w14:textId="35846B74" w:rsidR="00A337AA" w:rsidRDefault="00A337AA" w:rsidP="00D52D16">
      <w:pPr>
        <w:rPr>
          <w:b/>
          <w:bCs/>
        </w:rPr>
      </w:pPr>
      <w:r w:rsidRPr="00A337AA">
        <w:rPr>
          <w:b/>
          <w:bCs/>
        </w:rPr>
        <w:t>Fall</w:t>
      </w:r>
      <w:r w:rsidR="00BB2D6F">
        <w:rPr>
          <w:b/>
          <w:bCs/>
        </w:rPr>
        <w:t xml:space="preserve">  </w:t>
      </w:r>
      <w:r w:rsidR="00BB2D6F" w:rsidRPr="00BB2D6F">
        <w:t>(</w:t>
      </w:r>
      <w:r w:rsidR="007522A0">
        <w:t>T</w:t>
      </w:r>
      <w:r w:rsidR="00BB2D6F" w:rsidRPr="00BB2D6F">
        <w:t>hree 2-hour sessions between September and December)</w:t>
      </w:r>
    </w:p>
    <w:p w14:paraId="6312746F" w14:textId="2BF66202" w:rsidR="00A337AA" w:rsidRDefault="00560060" w:rsidP="00D52D16">
      <w:pPr>
        <w:pStyle w:val="ListParagraph"/>
        <w:numPr>
          <w:ilvl w:val="0"/>
          <w:numId w:val="2"/>
        </w:numPr>
      </w:pPr>
      <w:r>
        <w:t xml:space="preserve">Engaging, </w:t>
      </w:r>
      <w:r w:rsidR="005F6865">
        <w:t>Exploring, and Deepening Inquiry</w:t>
      </w:r>
    </w:p>
    <w:p w14:paraId="642D9A29" w14:textId="6BB36856" w:rsidR="003E0A20" w:rsidRDefault="003E0A20" w:rsidP="003E0A20">
      <w:pPr>
        <w:pStyle w:val="ListParagraph"/>
        <w:numPr>
          <w:ilvl w:val="0"/>
          <w:numId w:val="2"/>
        </w:numPr>
      </w:pPr>
      <w:r>
        <w:t xml:space="preserve">Designing for </w:t>
      </w:r>
      <w:r w:rsidR="005F6865">
        <w:t>I</w:t>
      </w:r>
      <w:r>
        <w:t xml:space="preserve">nquiry </w:t>
      </w:r>
      <w:r w:rsidR="005F6865">
        <w:t>I</w:t>
      </w:r>
    </w:p>
    <w:p w14:paraId="78FDED48" w14:textId="03691767" w:rsidR="00A337AA" w:rsidRDefault="00A337AA" w:rsidP="00D52D16">
      <w:pPr>
        <w:rPr>
          <w:b/>
          <w:bCs/>
        </w:rPr>
      </w:pPr>
      <w:r w:rsidRPr="00A337AA">
        <w:rPr>
          <w:b/>
          <w:bCs/>
        </w:rPr>
        <w:t xml:space="preserve">Spring </w:t>
      </w:r>
      <w:r w:rsidR="00BB2D6F" w:rsidRPr="00BB2D6F">
        <w:t xml:space="preserve">(A minimum of three 2-hour sessions between </w:t>
      </w:r>
      <w:r w:rsidR="00BB2D6F">
        <w:t xml:space="preserve">January </w:t>
      </w:r>
      <w:r w:rsidR="00BB2D6F" w:rsidRPr="00BB2D6F">
        <w:t xml:space="preserve">and </w:t>
      </w:r>
      <w:r w:rsidR="00BB2D6F">
        <w:t>May</w:t>
      </w:r>
      <w:r w:rsidR="00BB2D6F" w:rsidRPr="00BB2D6F">
        <w:t>)</w:t>
      </w:r>
    </w:p>
    <w:p w14:paraId="19CF1F8D" w14:textId="69A55F40" w:rsidR="00560060" w:rsidRDefault="00BD53F4" w:rsidP="00560060">
      <w:pPr>
        <w:pStyle w:val="ListParagraph"/>
        <w:numPr>
          <w:ilvl w:val="0"/>
          <w:numId w:val="2"/>
        </w:numPr>
      </w:pPr>
      <w:r w:rsidRPr="00560060">
        <w:t xml:space="preserve"> </w:t>
      </w:r>
      <w:r w:rsidR="00A337AA" w:rsidRPr="00560060">
        <w:t>Seeing Inquiry</w:t>
      </w:r>
      <w:r w:rsidR="00560060">
        <w:t xml:space="preserve"> </w:t>
      </w:r>
    </w:p>
    <w:p w14:paraId="07FEBBA8" w14:textId="69B8807B" w:rsidR="00560060" w:rsidRDefault="00BD53F4" w:rsidP="00560060">
      <w:pPr>
        <w:rPr>
          <w:b/>
          <w:bCs/>
        </w:rPr>
      </w:pPr>
      <w:r w:rsidRPr="00560060">
        <w:rPr>
          <w:b/>
          <w:bCs/>
        </w:rPr>
        <w:t xml:space="preserve"> </w:t>
      </w:r>
      <w:r w:rsidR="00560060" w:rsidRPr="00560060">
        <w:rPr>
          <w:b/>
          <w:bCs/>
        </w:rPr>
        <w:t xml:space="preserve">Summer </w:t>
      </w:r>
      <w:r w:rsidR="003E0A20">
        <w:rPr>
          <w:b/>
          <w:bCs/>
        </w:rPr>
        <w:t>II</w:t>
      </w:r>
      <w:r w:rsidR="00BB2D6F">
        <w:rPr>
          <w:b/>
          <w:bCs/>
        </w:rPr>
        <w:t xml:space="preserve"> </w:t>
      </w:r>
      <w:r w:rsidR="00330986" w:rsidRPr="007522A0">
        <w:t>(A</w:t>
      </w:r>
      <w:r w:rsidR="007522A0" w:rsidRPr="007522A0">
        <w:t xml:space="preserve">n </w:t>
      </w:r>
      <w:r w:rsidR="00330986" w:rsidRPr="007522A0">
        <w:t>Inquiry Learning Institute)</w:t>
      </w:r>
    </w:p>
    <w:tbl>
      <w:tblPr>
        <w:tblStyle w:val="TableGrid"/>
        <w:tblpPr w:leftFromText="180" w:rightFromText="180" w:vertAnchor="text" w:horzAnchor="margin" w:tblpY="1175"/>
        <w:tblW w:w="8635" w:type="dxa"/>
        <w:tblLook w:val="04A0" w:firstRow="1" w:lastRow="0" w:firstColumn="1" w:lastColumn="0" w:noHBand="0" w:noVBand="1"/>
      </w:tblPr>
      <w:tblGrid>
        <w:gridCol w:w="2219"/>
        <w:gridCol w:w="2068"/>
        <w:gridCol w:w="2216"/>
        <w:gridCol w:w="2132"/>
      </w:tblGrid>
      <w:tr w:rsidR="00BD53F4" w14:paraId="077A231B" w14:textId="77777777" w:rsidTr="00215723">
        <w:tc>
          <w:tcPr>
            <w:tcW w:w="2219" w:type="dxa"/>
          </w:tcPr>
          <w:p w14:paraId="0AE52CAF" w14:textId="77777777" w:rsidR="00BD53F4" w:rsidRPr="00805405" w:rsidRDefault="00BD53F4" w:rsidP="00BD53F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05405">
              <w:rPr>
                <w:b/>
                <w:bCs/>
              </w:rPr>
              <w:t>Summer</w:t>
            </w:r>
          </w:p>
        </w:tc>
        <w:tc>
          <w:tcPr>
            <w:tcW w:w="2068" w:type="dxa"/>
          </w:tcPr>
          <w:p w14:paraId="14EFEFCC" w14:textId="77777777" w:rsidR="00BD53F4" w:rsidRPr="00805405" w:rsidRDefault="00BD53F4" w:rsidP="00BD53F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05405">
              <w:rPr>
                <w:b/>
                <w:bCs/>
              </w:rPr>
              <w:t xml:space="preserve">Fall </w:t>
            </w:r>
          </w:p>
        </w:tc>
        <w:tc>
          <w:tcPr>
            <w:tcW w:w="2216" w:type="dxa"/>
          </w:tcPr>
          <w:p w14:paraId="53CF1DC1" w14:textId="77777777" w:rsidR="00BD53F4" w:rsidRPr="00805405" w:rsidRDefault="00BD53F4" w:rsidP="00BD53F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05405">
              <w:rPr>
                <w:b/>
                <w:bCs/>
              </w:rPr>
              <w:t>Spring</w:t>
            </w:r>
          </w:p>
        </w:tc>
        <w:tc>
          <w:tcPr>
            <w:tcW w:w="2132" w:type="dxa"/>
          </w:tcPr>
          <w:p w14:paraId="4BB55B3D" w14:textId="77777777" w:rsidR="00BD53F4" w:rsidRPr="00805405" w:rsidRDefault="00BD53F4" w:rsidP="00BD53F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805405">
              <w:rPr>
                <w:b/>
                <w:bCs/>
              </w:rPr>
              <w:t>Summer II</w:t>
            </w:r>
          </w:p>
        </w:tc>
      </w:tr>
      <w:tr w:rsidR="00BD53F4" w14:paraId="2EBD1768" w14:textId="77777777" w:rsidTr="00215723">
        <w:tc>
          <w:tcPr>
            <w:tcW w:w="2219" w:type="dxa"/>
          </w:tcPr>
          <w:p w14:paraId="73A18485" w14:textId="77777777" w:rsidR="00BD53F4" w:rsidRPr="00805405" w:rsidRDefault="00BD53F4" w:rsidP="00BD53F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068" w:type="dxa"/>
          </w:tcPr>
          <w:p w14:paraId="1665C79F" w14:textId="77777777" w:rsidR="00BD53F4" w:rsidRPr="00805405" w:rsidRDefault="00BD53F4" w:rsidP="00BD53F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216" w:type="dxa"/>
          </w:tcPr>
          <w:p w14:paraId="59A7E86A" w14:textId="77777777" w:rsidR="00BD53F4" w:rsidRPr="00805405" w:rsidRDefault="00BD53F4" w:rsidP="00BD53F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132" w:type="dxa"/>
          </w:tcPr>
          <w:p w14:paraId="198C198E" w14:textId="77777777" w:rsidR="00BD53F4" w:rsidRPr="00805405" w:rsidRDefault="00BD53F4" w:rsidP="00BD53F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</w:tr>
      <w:tr w:rsidR="00BD53F4" w14:paraId="48CCF314" w14:textId="77777777" w:rsidTr="00215723">
        <w:tc>
          <w:tcPr>
            <w:tcW w:w="2219" w:type="dxa"/>
          </w:tcPr>
          <w:p w14:paraId="2737BAD0" w14:textId="77777777" w:rsidR="00BD53F4" w:rsidRDefault="00BD53F4" w:rsidP="007522A0">
            <w:pPr>
              <w:ind w:left="160"/>
            </w:pPr>
            <w:r>
              <w:t>I</w:t>
            </w:r>
            <w:r w:rsidRPr="003E0A20">
              <w:t>nquiry</w:t>
            </w:r>
            <w:r>
              <w:t xml:space="preserve"> Institute I</w:t>
            </w:r>
          </w:p>
          <w:p w14:paraId="200682B9" w14:textId="77777777" w:rsidR="00BD53F4" w:rsidRPr="003E0A20" w:rsidRDefault="00BD53F4" w:rsidP="007522A0">
            <w:pPr>
              <w:pStyle w:val="ListParagraph"/>
              <w:numPr>
                <w:ilvl w:val="0"/>
                <w:numId w:val="2"/>
              </w:numPr>
              <w:ind w:left="610"/>
            </w:pPr>
            <w:r>
              <w:t>Experiencing Inquiry Learning</w:t>
            </w:r>
          </w:p>
          <w:p w14:paraId="34D1BFC9" w14:textId="77777777" w:rsidR="00BD53F4" w:rsidRDefault="00BD53F4" w:rsidP="00BD53F4">
            <w:pPr>
              <w:pStyle w:val="ListParagraph"/>
              <w:ind w:left="0"/>
            </w:pPr>
          </w:p>
        </w:tc>
        <w:tc>
          <w:tcPr>
            <w:tcW w:w="2068" w:type="dxa"/>
          </w:tcPr>
          <w:p w14:paraId="6DB74DEB" w14:textId="77777777" w:rsidR="00BD53F4" w:rsidRDefault="00BD53F4" w:rsidP="00BD53F4">
            <w:pPr>
              <w:pStyle w:val="ListParagraph"/>
              <w:ind w:left="0"/>
            </w:pPr>
          </w:p>
        </w:tc>
        <w:tc>
          <w:tcPr>
            <w:tcW w:w="2216" w:type="dxa"/>
          </w:tcPr>
          <w:p w14:paraId="2C3530A6" w14:textId="77777777" w:rsidR="00BD53F4" w:rsidRDefault="00BD53F4" w:rsidP="00BD53F4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0F9828F3" w14:textId="77777777" w:rsidR="00BD53F4" w:rsidRDefault="00BD53F4" w:rsidP="007522A0">
            <w:pPr>
              <w:pStyle w:val="ListParagraph"/>
              <w:ind w:left="0"/>
            </w:pPr>
            <w:r>
              <w:t>Inquiry Institute II</w:t>
            </w:r>
          </w:p>
          <w:p w14:paraId="319F56AD" w14:textId="651DCCA0" w:rsidR="00BD53F4" w:rsidRDefault="00BD53F4" w:rsidP="007522A0">
            <w:pPr>
              <w:pStyle w:val="ListParagraph"/>
              <w:numPr>
                <w:ilvl w:val="0"/>
                <w:numId w:val="5"/>
              </w:numPr>
              <w:ind w:left="500"/>
            </w:pPr>
            <w:r>
              <w:t>Documenting &amp; Assessing Inquiry Learning</w:t>
            </w:r>
          </w:p>
        </w:tc>
      </w:tr>
      <w:tr w:rsidR="00BD53F4" w14:paraId="18E7F4B6" w14:textId="77777777" w:rsidTr="00215723">
        <w:tc>
          <w:tcPr>
            <w:tcW w:w="2219" w:type="dxa"/>
          </w:tcPr>
          <w:p w14:paraId="799623FF" w14:textId="77777777" w:rsidR="00BD53F4" w:rsidRDefault="00BD53F4" w:rsidP="00BD53F4">
            <w:pPr>
              <w:pStyle w:val="ListParagraph"/>
              <w:ind w:left="0"/>
            </w:pPr>
          </w:p>
        </w:tc>
        <w:tc>
          <w:tcPr>
            <w:tcW w:w="2068" w:type="dxa"/>
          </w:tcPr>
          <w:p w14:paraId="0FEFF6C2" w14:textId="0710943D" w:rsidR="00BD53F4" w:rsidRDefault="00BD53F4" w:rsidP="007522A0">
            <w:pPr>
              <w:ind w:left="190"/>
            </w:pPr>
            <w:r>
              <w:t xml:space="preserve">Engaging, Exploring </w:t>
            </w:r>
            <w:r w:rsidR="007522A0">
              <w:t xml:space="preserve">&amp; </w:t>
            </w:r>
            <w:r>
              <w:t>Deepening Inquiry</w:t>
            </w:r>
          </w:p>
        </w:tc>
        <w:tc>
          <w:tcPr>
            <w:tcW w:w="2216" w:type="dxa"/>
          </w:tcPr>
          <w:p w14:paraId="03DA338B" w14:textId="77777777" w:rsidR="00BD53F4" w:rsidRDefault="00BD53F4" w:rsidP="00BD53F4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64F7FE69" w14:textId="77777777" w:rsidR="00BD53F4" w:rsidRDefault="00BD53F4" w:rsidP="00BD53F4">
            <w:pPr>
              <w:pStyle w:val="ListParagraph"/>
              <w:ind w:left="0"/>
            </w:pPr>
          </w:p>
        </w:tc>
      </w:tr>
      <w:tr w:rsidR="00BD53F4" w14:paraId="06A9EC6E" w14:textId="77777777" w:rsidTr="00215723">
        <w:tc>
          <w:tcPr>
            <w:tcW w:w="2219" w:type="dxa"/>
          </w:tcPr>
          <w:p w14:paraId="15A3B98B" w14:textId="77777777" w:rsidR="00BD53F4" w:rsidRDefault="00BD53F4" w:rsidP="00BD53F4">
            <w:pPr>
              <w:pStyle w:val="ListParagraph"/>
              <w:ind w:left="0"/>
            </w:pPr>
          </w:p>
        </w:tc>
        <w:tc>
          <w:tcPr>
            <w:tcW w:w="2068" w:type="dxa"/>
          </w:tcPr>
          <w:p w14:paraId="4511D1A7" w14:textId="7F7E449B" w:rsidR="00BD53F4" w:rsidRDefault="00BD53F4" w:rsidP="007522A0">
            <w:pPr>
              <w:ind w:left="190" w:right="520"/>
              <w:jc w:val="both"/>
            </w:pPr>
            <w:r>
              <w:t>Designing</w:t>
            </w:r>
            <w:r w:rsidR="007522A0">
              <w:t xml:space="preserve"> </w:t>
            </w:r>
            <w:r>
              <w:t xml:space="preserve">for </w:t>
            </w:r>
            <w:r w:rsidR="007522A0">
              <w:t>I</w:t>
            </w:r>
            <w:r>
              <w:t>nquiry I</w:t>
            </w:r>
          </w:p>
        </w:tc>
        <w:tc>
          <w:tcPr>
            <w:tcW w:w="2216" w:type="dxa"/>
          </w:tcPr>
          <w:p w14:paraId="57A4CA6F" w14:textId="77777777" w:rsidR="00BD53F4" w:rsidRDefault="00BD53F4" w:rsidP="00BD53F4">
            <w:pPr>
              <w:pStyle w:val="ListParagraph"/>
              <w:ind w:left="0"/>
            </w:pPr>
          </w:p>
        </w:tc>
        <w:tc>
          <w:tcPr>
            <w:tcW w:w="2132" w:type="dxa"/>
          </w:tcPr>
          <w:p w14:paraId="67F6EB33" w14:textId="77777777" w:rsidR="00BD53F4" w:rsidRDefault="00BD53F4" w:rsidP="00BD53F4">
            <w:pPr>
              <w:pStyle w:val="ListParagraph"/>
              <w:ind w:left="0"/>
            </w:pPr>
          </w:p>
        </w:tc>
      </w:tr>
      <w:tr w:rsidR="00BD53F4" w14:paraId="7D7E1DCF" w14:textId="77777777" w:rsidTr="00215723">
        <w:tc>
          <w:tcPr>
            <w:tcW w:w="2219" w:type="dxa"/>
          </w:tcPr>
          <w:p w14:paraId="3FDFF6D3" w14:textId="77777777" w:rsidR="00BD53F4" w:rsidRDefault="00BD53F4" w:rsidP="00BD53F4">
            <w:pPr>
              <w:pStyle w:val="ListParagraph"/>
              <w:ind w:left="0"/>
            </w:pPr>
          </w:p>
        </w:tc>
        <w:tc>
          <w:tcPr>
            <w:tcW w:w="2068" w:type="dxa"/>
          </w:tcPr>
          <w:p w14:paraId="0E0CE5B5" w14:textId="77777777" w:rsidR="00BD53F4" w:rsidRDefault="00BD53F4" w:rsidP="00BD53F4">
            <w:pPr>
              <w:pStyle w:val="ListParagraph"/>
              <w:ind w:left="0"/>
            </w:pPr>
          </w:p>
        </w:tc>
        <w:tc>
          <w:tcPr>
            <w:tcW w:w="2216" w:type="dxa"/>
          </w:tcPr>
          <w:p w14:paraId="1FD4F732" w14:textId="2852177D" w:rsidR="00BD53F4" w:rsidRDefault="00BD53F4" w:rsidP="007522A0">
            <w:r w:rsidRPr="00560060">
              <w:t>Seeing</w:t>
            </w:r>
            <w:r w:rsidR="005D4F15">
              <w:t xml:space="preserve"> &amp; Describing</w:t>
            </w:r>
            <w:r w:rsidRPr="00560060">
              <w:t xml:space="preserve"> Inquiry</w:t>
            </w:r>
          </w:p>
          <w:p w14:paraId="481BF39C" w14:textId="77777777" w:rsidR="00BD53F4" w:rsidRDefault="00BD53F4" w:rsidP="007522A0">
            <w:pPr>
              <w:pStyle w:val="ListParagraph"/>
              <w:numPr>
                <w:ilvl w:val="0"/>
                <w:numId w:val="2"/>
              </w:numPr>
              <w:ind w:left="610"/>
            </w:pPr>
            <w:r>
              <w:t>Student Work Products</w:t>
            </w:r>
          </w:p>
          <w:p w14:paraId="735D7538" w14:textId="78AF68B4" w:rsidR="00BD53F4" w:rsidRDefault="00BD53F4" w:rsidP="007522A0">
            <w:pPr>
              <w:pStyle w:val="ListParagraph"/>
              <w:numPr>
                <w:ilvl w:val="0"/>
                <w:numId w:val="2"/>
              </w:numPr>
              <w:ind w:left="610"/>
            </w:pPr>
            <w:r>
              <w:t xml:space="preserve"> </w:t>
            </w:r>
            <w:r w:rsidR="007522A0">
              <w:t xml:space="preserve">Classroom </w:t>
            </w:r>
            <w:r>
              <w:t xml:space="preserve">Videotapes </w:t>
            </w:r>
          </w:p>
        </w:tc>
        <w:tc>
          <w:tcPr>
            <w:tcW w:w="2132" w:type="dxa"/>
          </w:tcPr>
          <w:p w14:paraId="6366E578" w14:textId="77777777" w:rsidR="00BD53F4" w:rsidRPr="00560060" w:rsidRDefault="00BD53F4" w:rsidP="00BD53F4">
            <w:pPr>
              <w:jc w:val="center"/>
            </w:pPr>
          </w:p>
        </w:tc>
      </w:tr>
    </w:tbl>
    <w:p w14:paraId="668B2817" w14:textId="3896D145" w:rsidR="00517588" w:rsidRDefault="00BD53F4" w:rsidP="00215723">
      <w:pPr>
        <w:pStyle w:val="ListParagraph"/>
        <w:numPr>
          <w:ilvl w:val="0"/>
          <w:numId w:val="2"/>
        </w:numPr>
      </w:pPr>
      <w:r>
        <w:t xml:space="preserve"> </w:t>
      </w:r>
      <w:r w:rsidR="00330986">
        <w:t xml:space="preserve">Inquiry Institute II: </w:t>
      </w:r>
      <w:r w:rsidR="003E0A20">
        <w:t xml:space="preserve">Documenting &amp; </w:t>
      </w:r>
      <w:r w:rsidR="005F6865">
        <w:t>A</w:t>
      </w:r>
      <w:r w:rsidR="00560060" w:rsidRPr="00560060">
        <w:t>ssessing Inquiry</w:t>
      </w:r>
      <w:r w:rsidR="003E0A20">
        <w:t xml:space="preserve"> </w:t>
      </w:r>
      <w:r w:rsidR="005D4F15">
        <w:t>L</w:t>
      </w:r>
      <w:r w:rsidR="003E0A20">
        <w:t>earning</w:t>
      </w:r>
      <w:r w:rsidR="00BB2D6F">
        <w:t>-Science Performance Tasks</w:t>
      </w:r>
    </w:p>
    <w:p w14:paraId="4D610592" w14:textId="3B63687F" w:rsidR="00DD5682" w:rsidRPr="005D4F15" w:rsidRDefault="001C623D" w:rsidP="00517588">
      <w:pPr>
        <w:rPr>
          <w:b/>
          <w:bCs/>
        </w:rPr>
      </w:pPr>
      <w:r>
        <w:br w:type="page"/>
      </w:r>
      <w:bookmarkStart w:id="0" w:name="_GoBack"/>
      <w:r w:rsidR="007C4D6B" w:rsidRPr="005D4F15">
        <w:rPr>
          <w:b/>
          <w:bCs/>
        </w:rPr>
        <w:lastRenderedPageBreak/>
        <w:t xml:space="preserve">PROFESSIONAL DEVELOPMENT </w:t>
      </w:r>
      <w:r w:rsidR="00C13DD8" w:rsidRPr="005D4F15">
        <w:rPr>
          <w:b/>
          <w:bCs/>
        </w:rPr>
        <w:t xml:space="preserve">FOR </w:t>
      </w:r>
      <w:r w:rsidR="00807E12" w:rsidRPr="005D4F15">
        <w:rPr>
          <w:b/>
          <w:bCs/>
        </w:rPr>
        <w:t>TEACHERS WHO COMPLETE THE</w:t>
      </w:r>
      <w:r w:rsidR="00A74D64" w:rsidRPr="005D4F15">
        <w:rPr>
          <w:b/>
          <w:bCs/>
        </w:rPr>
        <w:t xml:space="preserve"> FOUNDATIONAL</w:t>
      </w:r>
      <w:r w:rsidR="00807E12" w:rsidRPr="005D4F15">
        <w:rPr>
          <w:b/>
          <w:bCs/>
        </w:rPr>
        <w:t xml:space="preserve"> INQUIRY PROGRAM</w:t>
      </w:r>
    </w:p>
    <w:p w14:paraId="6BD735C7" w14:textId="421FB64B" w:rsidR="00BE652F" w:rsidRDefault="002411FD" w:rsidP="00BE652F">
      <w:r>
        <w:rPr>
          <w:b/>
          <w:bCs/>
        </w:rPr>
        <w:t>Documenting Practice</w:t>
      </w:r>
      <w:r w:rsidR="00BE652F" w:rsidRPr="00807E12">
        <w:rPr>
          <w:b/>
          <w:bCs/>
        </w:rPr>
        <w:t>.</w:t>
      </w:r>
      <w:r w:rsidR="007C4D6B">
        <w:t xml:space="preserve"> Teachers</w:t>
      </w:r>
      <w:r>
        <w:t xml:space="preserve"> </w:t>
      </w:r>
      <w:r w:rsidR="00BD53F4">
        <w:t>find a question of interest that emerges from practice and</w:t>
      </w:r>
      <w:r w:rsidR="00517588">
        <w:t xml:space="preserve"> </w:t>
      </w:r>
      <w:r w:rsidR="007C4D6B">
        <w:t xml:space="preserve">plan and conduct an inquiry to </w:t>
      </w:r>
      <w:r w:rsidR="00BD53F4">
        <w:t xml:space="preserve">gather data to </w:t>
      </w:r>
      <w:r w:rsidR="007C4D6B">
        <w:t xml:space="preserve">illuminate </w:t>
      </w:r>
      <w:r w:rsidR="00BD53F4">
        <w:t>the area of interest</w:t>
      </w:r>
      <w:r w:rsidR="007C4D6B">
        <w:t xml:space="preserve">. Teachers </w:t>
      </w:r>
      <w:r w:rsidR="00443EB8">
        <w:t xml:space="preserve">make </w:t>
      </w:r>
      <w:r w:rsidR="007C4D6B">
        <w:t>present</w:t>
      </w:r>
      <w:r w:rsidR="00443EB8">
        <w:t>ations of</w:t>
      </w:r>
      <w:r w:rsidR="007C4D6B">
        <w:t xml:space="preserve"> their inquiries to an audience of interested stakeholders.  </w:t>
      </w:r>
    </w:p>
    <w:p w14:paraId="78029E93" w14:textId="7AE9C89A" w:rsidR="00255326" w:rsidRDefault="007C4D6B" w:rsidP="00BE652F">
      <w:r w:rsidRPr="00807E12">
        <w:rPr>
          <w:b/>
          <w:bCs/>
        </w:rPr>
        <w:t>T</w:t>
      </w:r>
      <w:r w:rsidR="00BE652F" w:rsidRPr="00807E12">
        <w:rPr>
          <w:b/>
          <w:bCs/>
        </w:rPr>
        <w:t>eacher</w:t>
      </w:r>
      <w:r w:rsidR="00121F2A" w:rsidRPr="00807E12">
        <w:rPr>
          <w:b/>
          <w:bCs/>
        </w:rPr>
        <w:t>s</w:t>
      </w:r>
      <w:r w:rsidR="00BE652F" w:rsidRPr="00807E12">
        <w:rPr>
          <w:b/>
          <w:bCs/>
        </w:rPr>
        <w:t xml:space="preserve"> </w:t>
      </w:r>
      <w:r w:rsidRPr="00807E12">
        <w:rPr>
          <w:b/>
          <w:bCs/>
        </w:rPr>
        <w:t>C</w:t>
      </w:r>
      <w:r w:rsidR="00BE652F" w:rsidRPr="00807E12">
        <w:rPr>
          <w:b/>
          <w:bCs/>
        </w:rPr>
        <w:t>ollaborat</w:t>
      </w:r>
      <w:r w:rsidR="00121F2A" w:rsidRPr="00807E12">
        <w:rPr>
          <w:b/>
          <w:bCs/>
        </w:rPr>
        <w:t>e</w:t>
      </w:r>
      <w:r w:rsidR="00BE652F" w:rsidRPr="00807E12">
        <w:rPr>
          <w:b/>
          <w:bCs/>
        </w:rPr>
        <w:t xml:space="preserve"> </w:t>
      </w:r>
      <w:r w:rsidR="00121F2A" w:rsidRPr="00807E12">
        <w:rPr>
          <w:b/>
          <w:bCs/>
        </w:rPr>
        <w:t>to</w:t>
      </w:r>
      <w:r w:rsidRPr="00807E12">
        <w:rPr>
          <w:b/>
          <w:bCs/>
        </w:rPr>
        <w:t xml:space="preserve"> </w:t>
      </w:r>
      <w:r w:rsidR="005F6865" w:rsidRPr="00807E12">
        <w:rPr>
          <w:b/>
          <w:bCs/>
        </w:rPr>
        <w:t xml:space="preserve">Design </w:t>
      </w:r>
      <w:r w:rsidR="002411FD">
        <w:rPr>
          <w:b/>
          <w:bCs/>
        </w:rPr>
        <w:t xml:space="preserve">Curriculum </w:t>
      </w:r>
      <w:r w:rsidR="005F6865" w:rsidRPr="00807E12">
        <w:rPr>
          <w:b/>
          <w:bCs/>
        </w:rPr>
        <w:t xml:space="preserve">for </w:t>
      </w:r>
      <w:r w:rsidRPr="00807E12">
        <w:rPr>
          <w:b/>
          <w:bCs/>
        </w:rPr>
        <w:t>Inquiry</w:t>
      </w:r>
      <w:r w:rsidR="005F6865" w:rsidRPr="00807E12">
        <w:rPr>
          <w:b/>
          <w:bCs/>
        </w:rPr>
        <w:t xml:space="preserve"> II</w:t>
      </w:r>
      <w:r w:rsidR="00BE652F">
        <w:t xml:space="preserve">.  </w:t>
      </w:r>
      <w:r w:rsidR="00A74D64">
        <w:t xml:space="preserve">In this professional development teachers utilize the inquiry cycle to work collaboratively to design a small piece of curriculum to engage students in inquiry learning. </w:t>
      </w:r>
      <w:r w:rsidR="00BD53F4">
        <w:t>We encourage teacher teams from within the same districts.</w:t>
      </w:r>
    </w:p>
    <w:p w14:paraId="2D8E6472" w14:textId="1A8D289D" w:rsidR="00255326" w:rsidRDefault="00A74D64" w:rsidP="00255326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Exploration &amp; </w:t>
      </w:r>
      <w:r w:rsidR="00255326" w:rsidRPr="00121F2A">
        <w:rPr>
          <w:u w:val="single"/>
        </w:rPr>
        <w:t>Collaborative Design</w:t>
      </w:r>
      <w:r w:rsidR="00255326">
        <w:t>:</w:t>
      </w:r>
      <w:r w:rsidR="00AF5A3C">
        <w:t xml:space="preserve"> </w:t>
      </w:r>
      <w:r w:rsidR="00255326">
        <w:t>T</w:t>
      </w:r>
      <w:r w:rsidR="00AF5A3C">
        <w:t xml:space="preserve">eachers meet </w:t>
      </w:r>
      <w:r w:rsidR="00255326">
        <w:t xml:space="preserve">as collaborative partners to </w:t>
      </w:r>
      <w:r w:rsidR="00173678">
        <w:t>explore their experience in the classroom teaching science.</w:t>
      </w:r>
      <w:r w:rsidR="005F6865">
        <w:t xml:space="preserve"> </w:t>
      </w:r>
      <w:r w:rsidR="00255326">
        <w:t xml:space="preserve">Teachers </w:t>
      </w:r>
      <w:r w:rsidR="00173678">
        <w:t xml:space="preserve">identify a topic to engage students in inquiry learning. </w:t>
      </w:r>
      <w:r w:rsidR="00255326">
        <w:t xml:space="preserve">generate questions to guide their </w:t>
      </w:r>
      <w:r w:rsidR="00121F2A">
        <w:t xml:space="preserve">observations during trial teaching and </w:t>
      </w:r>
      <w:r w:rsidR="00255326">
        <w:t xml:space="preserve">assessment of the overall design. </w:t>
      </w:r>
    </w:p>
    <w:p w14:paraId="02DFF46D" w14:textId="52972841" w:rsidR="00AF5A3C" w:rsidRDefault="00173678" w:rsidP="00255326">
      <w:pPr>
        <w:pStyle w:val="ListParagraph"/>
        <w:numPr>
          <w:ilvl w:val="0"/>
          <w:numId w:val="7"/>
        </w:numPr>
      </w:pPr>
      <w:r>
        <w:rPr>
          <w:u w:val="single"/>
        </w:rPr>
        <w:t>Curriculum Design &amp; Data-Gathering</w:t>
      </w:r>
      <w:r w:rsidR="00255326">
        <w:t xml:space="preserve">: </w:t>
      </w:r>
      <w:r>
        <w:t xml:space="preserve">From this experience and reflection, they work collaboratively to design a learning experience to engage students in inquiry learning. The experience might be the re-design an existing activity. </w:t>
      </w:r>
      <w:r w:rsidR="00AF5A3C">
        <w:t>A member of the collaborating team</w:t>
      </w:r>
      <w:r w:rsidR="00255326">
        <w:t xml:space="preserve"> volunteers to teach the collaboratively designed learning experience. </w:t>
      </w:r>
      <w:r w:rsidR="00AF5A3C">
        <w:t xml:space="preserve"> </w:t>
      </w:r>
      <w:r w:rsidR="00255326">
        <w:t xml:space="preserve">Collaborating partners observe </w:t>
      </w:r>
      <w:r w:rsidR="00AF5A3C">
        <w:t xml:space="preserve">for the specific purpose of gathering data on the effectiveness of the design in engaging student inquiry. </w:t>
      </w:r>
      <w:r w:rsidR="00121F2A">
        <w:t xml:space="preserve">It is recommended that teachers visit the classroom to make first-hand observations. However, it is also possible that the team arranges to make a videorecording of the teaching that can be shared with team partners at a later time. </w:t>
      </w:r>
    </w:p>
    <w:p w14:paraId="0C2B98EB" w14:textId="15C7C349" w:rsidR="00255326" w:rsidRDefault="00A74D64" w:rsidP="00255326">
      <w:pPr>
        <w:pStyle w:val="ListParagraph"/>
        <w:numPr>
          <w:ilvl w:val="0"/>
          <w:numId w:val="7"/>
        </w:numPr>
      </w:pPr>
      <w:r>
        <w:rPr>
          <w:u w:val="single"/>
        </w:rPr>
        <w:t>Sense-Making</w:t>
      </w:r>
      <w:r w:rsidR="00255326">
        <w:t xml:space="preserve">: </w:t>
      </w:r>
      <w:r w:rsidR="00173678">
        <w:t>The c</w:t>
      </w:r>
      <w:r w:rsidR="00255326">
        <w:t xml:space="preserve">ollaborating team shares data and reflects on ways to </w:t>
      </w:r>
      <w:r w:rsidR="002411FD">
        <w:t xml:space="preserve">use inquiry to </w:t>
      </w:r>
      <w:r w:rsidR="00255326">
        <w:t>deepen learnin</w:t>
      </w:r>
      <w:r w:rsidR="00173678">
        <w:t>g-looking through the lens of inquiry</w:t>
      </w:r>
      <w:r w:rsidR="002411FD">
        <w:t xml:space="preserve"> outcomes (attitudes, </w:t>
      </w:r>
      <w:r w:rsidR="002411FD" w:rsidRPr="00867A4E">
        <w:t xml:space="preserve">science </w:t>
      </w:r>
      <w:r w:rsidR="002411FD">
        <w:t>practices and processes, conceptual understanding).</w:t>
      </w:r>
    </w:p>
    <w:bookmarkEnd w:id="0"/>
    <w:p w14:paraId="5DF17E7C" w14:textId="77777777" w:rsidR="00DD5682" w:rsidRDefault="00DD5682" w:rsidP="00D52D16"/>
    <w:p w14:paraId="33978033" w14:textId="77777777" w:rsidR="00DD5682" w:rsidRDefault="00DD5682" w:rsidP="00D52D16"/>
    <w:p w14:paraId="56EAF6DF" w14:textId="77777777" w:rsidR="00DD5682" w:rsidRDefault="00DD5682" w:rsidP="00D52D16"/>
    <w:p w14:paraId="512BB600" w14:textId="77777777" w:rsidR="00D52D16" w:rsidRDefault="00D52D16" w:rsidP="00D52D16"/>
    <w:p w14:paraId="0FCC3A52" w14:textId="77777777" w:rsidR="00D52D16" w:rsidRDefault="00D52D16" w:rsidP="0082591E"/>
    <w:sectPr w:rsidR="00D52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288"/>
    <w:multiLevelType w:val="hybridMultilevel"/>
    <w:tmpl w:val="80A8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A3419"/>
    <w:multiLevelType w:val="hybridMultilevel"/>
    <w:tmpl w:val="DF7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E37CA"/>
    <w:multiLevelType w:val="hybridMultilevel"/>
    <w:tmpl w:val="0852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4D3C"/>
    <w:multiLevelType w:val="hybridMultilevel"/>
    <w:tmpl w:val="8ADC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B3365"/>
    <w:multiLevelType w:val="hybridMultilevel"/>
    <w:tmpl w:val="26F60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42DF8"/>
    <w:multiLevelType w:val="hybridMultilevel"/>
    <w:tmpl w:val="555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F2A87"/>
    <w:multiLevelType w:val="hybridMultilevel"/>
    <w:tmpl w:val="983A7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87"/>
    <w:rsid w:val="000442CD"/>
    <w:rsid w:val="000A4FB8"/>
    <w:rsid w:val="000B6D1A"/>
    <w:rsid w:val="000E79CA"/>
    <w:rsid w:val="000F6764"/>
    <w:rsid w:val="00121F2A"/>
    <w:rsid w:val="00122842"/>
    <w:rsid w:val="00173678"/>
    <w:rsid w:val="001746E8"/>
    <w:rsid w:val="001C623D"/>
    <w:rsid w:val="001E0F42"/>
    <w:rsid w:val="001F1181"/>
    <w:rsid w:val="00214A51"/>
    <w:rsid w:val="00215723"/>
    <w:rsid w:val="00221C62"/>
    <w:rsid w:val="00224AAD"/>
    <w:rsid w:val="002411FD"/>
    <w:rsid w:val="00255326"/>
    <w:rsid w:val="002E499E"/>
    <w:rsid w:val="00330986"/>
    <w:rsid w:val="003955DF"/>
    <w:rsid w:val="003D1957"/>
    <w:rsid w:val="003E0A20"/>
    <w:rsid w:val="003F3720"/>
    <w:rsid w:val="0040443C"/>
    <w:rsid w:val="00443EB8"/>
    <w:rsid w:val="00481A9F"/>
    <w:rsid w:val="004A121C"/>
    <w:rsid w:val="004B54B3"/>
    <w:rsid w:val="00517588"/>
    <w:rsid w:val="00560060"/>
    <w:rsid w:val="005B2E88"/>
    <w:rsid w:val="005C2EA7"/>
    <w:rsid w:val="005D3F8D"/>
    <w:rsid w:val="005D4F15"/>
    <w:rsid w:val="005F6865"/>
    <w:rsid w:val="00651941"/>
    <w:rsid w:val="00691349"/>
    <w:rsid w:val="00696EC7"/>
    <w:rsid w:val="006C2842"/>
    <w:rsid w:val="006F707B"/>
    <w:rsid w:val="007522A0"/>
    <w:rsid w:val="00797DD1"/>
    <w:rsid w:val="007A74DE"/>
    <w:rsid w:val="007C4D6B"/>
    <w:rsid w:val="007E5710"/>
    <w:rsid w:val="00805405"/>
    <w:rsid w:val="00807E12"/>
    <w:rsid w:val="00810EDB"/>
    <w:rsid w:val="00823752"/>
    <w:rsid w:val="0082591E"/>
    <w:rsid w:val="008544AD"/>
    <w:rsid w:val="00867A4E"/>
    <w:rsid w:val="008B3D64"/>
    <w:rsid w:val="00966AD5"/>
    <w:rsid w:val="009E60C8"/>
    <w:rsid w:val="009F1E37"/>
    <w:rsid w:val="00A00270"/>
    <w:rsid w:val="00A10FF7"/>
    <w:rsid w:val="00A337AA"/>
    <w:rsid w:val="00A60787"/>
    <w:rsid w:val="00A71BB4"/>
    <w:rsid w:val="00A74D64"/>
    <w:rsid w:val="00A86936"/>
    <w:rsid w:val="00AE7149"/>
    <w:rsid w:val="00AF5A3C"/>
    <w:rsid w:val="00B45378"/>
    <w:rsid w:val="00B70C1A"/>
    <w:rsid w:val="00BB2D6F"/>
    <w:rsid w:val="00BD53F4"/>
    <w:rsid w:val="00BE652F"/>
    <w:rsid w:val="00C13DD8"/>
    <w:rsid w:val="00C669D2"/>
    <w:rsid w:val="00CB677D"/>
    <w:rsid w:val="00CC3F39"/>
    <w:rsid w:val="00CD5EE0"/>
    <w:rsid w:val="00CE0388"/>
    <w:rsid w:val="00D368D7"/>
    <w:rsid w:val="00D52D16"/>
    <w:rsid w:val="00D53F70"/>
    <w:rsid w:val="00DD5682"/>
    <w:rsid w:val="00E05DC3"/>
    <w:rsid w:val="00EA4D06"/>
    <w:rsid w:val="00E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F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87"/>
    <w:pPr>
      <w:ind w:left="720"/>
      <w:contextualSpacing/>
    </w:pPr>
  </w:style>
  <w:style w:type="table" w:styleId="TableGrid">
    <w:name w:val="Table Grid"/>
    <w:basedOn w:val="TableNormal"/>
    <w:uiPriority w:val="59"/>
    <w:rsid w:val="0082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A4FB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87"/>
    <w:pPr>
      <w:ind w:left="720"/>
      <w:contextualSpacing/>
    </w:pPr>
  </w:style>
  <w:style w:type="table" w:styleId="TableGrid">
    <w:name w:val="Table Grid"/>
    <w:basedOn w:val="TableNormal"/>
    <w:uiPriority w:val="59"/>
    <w:rsid w:val="0082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A4FB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2F4D0D-D82D-424F-9E10-B251EC17D2C8}" type="doc">
      <dgm:prSet loTypeId="urn:microsoft.com/office/officeart/2005/8/layout/chart3" loCatId="cycle" qsTypeId="urn:microsoft.com/office/officeart/2005/8/quickstyle/simple1" qsCatId="simple" csTypeId="urn:microsoft.com/office/officeart/2005/8/colors/accent1_2" csCatId="accent1" phldr="1"/>
      <dgm:spPr/>
    </dgm:pt>
    <dgm:pt modelId="{685F491F-A197-4B05-B915-D9A72FB17C1B}">
      <dgm:prSet phldrT="[Text]" custT="1"/>
      <dgm:spPr/>
      <dgm:t>
        <a:bodyPr/>
        <a:lstStyle/>
        <a:p>
          <a:r>
            <a:rPr lang="en-US" sz="1000"/>
            <a:t>Experiencing </a:t>
          </a:r>
        </a:p>
        <a:p>
          <a:r>
            <a:rPr lang="en-US" sz="1000"/>
            <a:t>Inquiry</a:t>
          </a:r>
        </a:p>
      </dgm:t>
    </dgm:pt>
    <dgm:pt modelId="{3B2E69B8-190E-4EBD-8909-E5C8A86363F8}" type="parTrans" cxnId="{7DB28AF3-981A-43C7-8D52-2ECEFBCD32E2}">
      <dgm:prSet/>
      <dgm:spPr/>
      <dgm:t>
        <a:bodyPr/>
        <a:lstStyle/>
        <a:p>
          <a:endParaRPr lang="en-US"/>
        </a:p>
      </dgm:t>
    </dgm:pt>
    <dgm:pt modelId="{82E1D50E-BEA7-47B7-AFAB-DCCAE2E098D1}" type="sibTrans" cxnId="{7DB28AF3-981A-43C7-8D52-2ECEFBCD32E2}">
      <dgm:prSet/>
      <dgm:spPr/>
      <dgm:t>
        <a:bodyPr/>
        <a:lstStyle/>
        <a:p>
          <a:endParaRPr lang="en-US"/>
        </a:p>
      </dgm:t>
    </dgm:pt>
    <dgm:pt modelId="{BF023788-98AE-4C3B-9414-B5434A6E71FA}">
      <dgm:prSet phldrT="[Text]" custT="1"/>
      <dgm:spPr/>
      <dgm:t>
        <a:bodyPr/>
        <a:lstStyle/>
        <a:p>
          <a:r>
            <a:rPr lang="en-US" sz="1000"/>
            <a:t>Documenting Inquiry</a:t>
          </a:r>
        </a:p>
      </dgm:t>
    </dgm:pt>
    <dgm:pt modelId="{1BD53B1B-4AD0-4586-AA97-BFFD3E292C12}" type="parTrans" cxnId="{A353168B-AD84-4A6A-9F77-E64D7B025092}">
      <dgm:prSet/>
      <dgm:spPr/>
      <dgm:t>
        <a:bodyPr/>
        <a:lstStyle/>
        <a:p>
          <a:endParaRPr lang="en-US"/>
        </a:p>
      </dgm:t>
    </dgm:pt>
    <dgm:pt modelId="{3166D2ED-D5D3-440B-B2C6-B29292089A44}" type="sibTrans" cxnId="{A353168B-AD84-4A6A-9F77-E64D7B025092}">
      <dgm:prSet/>
      <dgm:spPr/>
      <dgm:t>
        <a:bodyPr/>
        <a:lstStyle/>
        <a:p>
          <a:endParaRPr lang="en-US"/>
        </a:p>
      </dgm:t>
    </dgm:pt>
    <dgm:pt modelId="{FDB650CB-C877-4526-BF41-7B4C8D85B84E}">
      <dgm:prSet custT="1"/>
      <dgm:spPr/>
      <dgm:t>
        <a:bodyPr/>
        <a:lstStyle/>
        <a:p>
          <a:r>
            <a:rPr lang="en-US" sz="1000"/>
            <a:t>Engaging, Exploring &amp; Deepening Inquiry</a:t>
          </a:r>
        </a:p>
      </dgm:t>
    </dgm:pt>
    <dgm:pt modelId="{181CC2FC-ECF7-4EF3-B657-805B677404D1}" type="parTrans" cxnId="{4C74BF08-E95B-444C-8DDE-6D8753EEE9F1}">
      <dgm:prSet/>
      <dgm:spPr/>
      <dgm:t>
        <a:bodyPr/>
        <a:lstStyle/>
        <a:p>
          <a:endParaRPr lang="en-US"/>
        </a:p>
      </dgm:t>
    </dgm:pt>
    <dgm:pt modelId="{FCF69A05-5EED-4EDE-9CF4-FD288898309D}" type="sibTrans" cxnId="{4C74BF08-E95B-444C-8DDE-6D8753EEE9F1}">
      <dgm:prSet/>
      <dgm:spPr/>
      <dgm:t>
        <a:bodyPr/>
        <a:lstStyle/>
        <a:p>
          <a:endParaRPr lang="en-US"/>
        </a:p>
      </dgm:t>
    </dgm:pt>
    <dgm:pt modelId="{0E95E4C8-DE5B-4C3C-BB53-E296B767D051}">
      <dgm:prSet custT="1"/>
      <dgm:spPr/>
      <dgm:t>
        <a:bodyPr/>
        <a:lstStyle/>
        <a:p>
          <a:r>
            <a:rPr lang="en-US" sz="1000"/>
            <a:t>Designing </a:t>
          </a:r>
        </a:p>
        <a:p>
          <a:r>
            <a:rPr lang="en-US" sz="1000"/>
            <a:t>for </a:t>
          </a:r>
        </a:p>
        <a:p>
          <a:r>
            <a:rPr lang="en-US" sz="1000"/>
            <a:t>Inquiry I</a:t>
          </a:r>
        </a:p>
      </dgm:t>
    </dgm:pt>
    <dgm:pt modelId="{25ED1F7E-9772-45AA-8A8D-E0B7DE600FD1}" type="parTrans" cxnId="{80FB8D83-A43C-44CE-9A1C-8089CA3F0868}">
      <dgm:prSet/>
      <dgm:spPr/>
      <dgm:t>
        <a:bodyPr/>
        <a:lstStyle/>
        <a:p>
          <a:endParaRPr lang="en-US"/>
        </a:p>
      </dgm:t>
    </dgm:pt>
    <dgm:pt modelId="{E2722F97-3E7A-4D5A-9ECA-371CB42D90D2}" type="sibTrans" cxnId="{80FB8D83-A43C-44CE-9A1C-8089CA3F0868}">
      <dgm:prSet/>
      <dgm:spPr/>
      <dgm:t>
        <a:bodyPr/>
        <a:lstStyle/>
        <a:p>
          <a:endParaRPr lang="en-US"/>
        </a:p>
      </dgm:t>
    </dgm:pt>
    <dgm:pt modelId="{7E0729EB-98BD-4AB4-B6B6-CA55DE25B2DD}">
      <dgm:prSet custT="1"/>
      <dgm:spPr/>
      <dgm:t>
        <a:bodyPr/>
        <a:lstStyle/>
        <a:p>
          <a:r>
            <a:rPr lang="en-US" sz="1000"/>
            <a:t>Seeing &amp; Describing</a:t>
          </a:r>
        </a:p>
        <a:p>
          <a:r>
            <a:rPr lang="en-US" sz="1000"/>
            <a:t>Inquiry</a:t>
          </a:r>
        </a:p>
      </dgm:t>
    </dgm:pt>
    <dgm:pt modelId="{1E483F2E-74A3-47AB-924D-13F12D3155E7}" type="parTrans" cxnId="{325AE1DA-2F71-431F-BDF6-AD7A5C053472}">
      <dgm:prSet/>
      <dgm:spPr/>
      <dgm:t>
        <a:bodyPr/>
        <a:lstStyle/>
        <a:p>
          <a:endParaRPr lang="en-US"/>
        </a:p>
      </dgm:t>
    </dgm:pt>
    <dgm:pt modelId="{2E442B8B-BF2C-4075-92EA-839EB6B9A2AF}" type="sibTrans" cxnId="{325AE1DA-2F71-431F-BDF6-AD7A5C053472}">
      <dgm:prSet/>
      <dgm:spPr/>
      <dgm:t>
        <a:bodyPr/>
        <a:lstStyle/>
        <a:p>
          <a:endParaRPr lang="en-US"/>
        </a:p>
      </dgm:t>
    </dgm:pt>
    <dgm:pt modelId="{92BCDADF-1813-4D47-9CDE-0A170A976859}" type="pres">
      <dgm:prSet presAssocID="{912F4D0D-D82D-424F-9E10-B251EC17D2C8}" presName="compositeShape" presStyleCnt="0">
        <dgm:presLayoutVars>
          <dgm:chMax val="7"/>
          <dgm:dir/>
          <dgm:resizeHandles val="exact"/>
        </dgm:presLayoutVars>
      </dgm:prSet>
      <dgm:spPr/>
    </dgm:pt>
    <dgm:pt modelId="{A65281BF-28D7-4EDB-877B-9DF18FC866E2}" type="pres">
      <dgm:prSet presAssocID="{912F4D0D-D82D-424F-9E10-B251EC17D2C8}" presName="wedge1" presStyleLbl="node1" presStyleIdx="0" presStyleCnt="5" custLinFactNeighborX="-4090" custLinFactNeighborY="4951"/>
      <dgm:spPr/>
      <dgm:t>
        <a:bodyPr/>
        <a:lstStyle/>
        <a:p>
          <a:endParaRPr lang="en-US"/>
        </a:p>
      </dgm:t>
    </dgm:pt>
    <dgm:pt modelId="{D45AAEA5-EB3B-48FA-AE1D-4FDAACEE5BCB}" type="pres">
      <dgm:prSet presAssocID="{912F4D0D-D82D-424F-9E10-B251EC17D2C8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2EA50-23A1-4CF6-B1B1-DD89B8004717}" type="pres">
      <dgm:prSet presAssocID="{912F4D0D-D82D-424F-9E10-B251EC17D2C8}" presName="wedge2" presStyleLbl="node1" presStyleIdx="1" presStyleCnt="5"/>
      <dgm:spPr/>
      <dgm:t>
        <a:bodyPr/>
        <a:lstStyle/>
        <a:p>
          <a:endParaRPr lang="en-US"/>
        </a:p>
      </dgm:t>
    </dgm:pt>
    <dgm:pt modelId="{E7B50507-E1EE-417A-85B8-F97978827727}" type="pres">
      <dgm:prSet presAssocID="{912F4D0D-D82D-424F-9E10-B251EC17D2C8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90125B-E880-4415-B5B4-80721C3AA530}" type="pres">
      <dgm:prSet presAssocID="{912F4D0D-D82D-424F-9E10-B251EC17D2C8}" presName="wedge3" presStyleLbl="node1" presStyleIdx="2" presStyleCnt="5" custLinFactNeighborX="382" custLinFactNeighborY="382"/>
      <dgm:spPr/>
      <dgm:t>
        <a:bodyPr/>
        <a:lstStyle/>
        <a:p>
          <a:endParaRPr lang="en-US"/>
        </a:p>
      </dgm:t>
    </dgm:pt>
    <dgm:pt modelId="{A8A7E920-84A6-4FAE-AB36-4D4719EF5A76}" type="pres">
      <dgm:prSet presAssocID="{912F4D0D-D82D-424F-9E10-B251EC17D2C8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EC0BD2-01D6-44C0-8A77-039DEF3E5196}" type="pres">
      <dgm:prSet presAssocID="{912F4D0D-D82D-424F-9E10-B251EC17D2C8}" presName="wedge4" presStyleLbl="node1" presStyleIdx="3" presStyleCnt="5"/>
      <dgm:spPr/>
      <dgm:t>
        <a:bodyPr/>
        <a:lstStyle/>
        <a:p>
          <a:endParaRPr lang="en-US"/>
        </a:p>
      </dgm:t>
    </dgm:pt>
    <dgm:pt modelId="{3DAF6296-7784-4998-ABC0-68DD0343CBAA}" type="pres">
      <dgm:prSet presAssocID="{912F4D0D-D82D-424F-9E10-B251EC17D2C8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A385B0-650D-4915-B605-3095AB191DA2}" type="pres">
      <dgm:prSet presAssocID="{912F4D0D-D82D-424F-9E10-B251EC17D2C8}" presName="wedge5" presStyleLbl="node1" presStyleIdx="4" presStyleCnt="5"/>
      <dgm:spPr/>
      <dgm:t>
        <a:bodyPr/>
        <a:lstStyle/>
        <a:p>
          <a:endParaRPr lang="en-US"/>
        </a:p>
      </dgm:t>
    </dgm:pt>
    <dgm:pt modelId="{419B5E36-6BCA-4599-927C-8672FD16980A}" type="pres">
      <dgm:prSet presAssocID="{912F4D0D-D82D-424F-9E10-B251EC17D2C8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445632-AB7F-476B-B1D8-A3D90F028835}" type="presOf" srcId="{685F491F-A197-4B05-B915-D9A72FB17C1B}" destId="{D45AAEA5-EB3B-48FA-AE1D-4FDAACEE5BCB}" srcOrd="1" destOrd="0" presId="urn:microsoft.com/office/officeart/2005/8/layout/chart3"/>
    <dgm:cxn modelId="{80FB8D83-A43C-44CE-9A1C-8089CA3F0868}" srcId="{912F4D0D-D82D-424F-9E10-B251EC17D2C8}" destId="{0E95E4C8-DE5B-4C3C-BB53-E296B767D051}" srcOrd="2" destOrd="0" parTransId="{25ED1F7E-9772-45AA-8A8D-E0B7DE600FD1}" sibTransId="{E2722F97-3E7A-4D5A-9ECA-371CB42D90D2}"/>
    <dgm:cxn modelId="{62170213-2BF0-4814-89F2-B2E1F3BC7C84}" type="presOf" srcId="{0E95E4C8-DE5B-4C3C-BB53-E296B767D051}" destId="{0D90125B-E880-4415-B5B4-80721C3AA530}" srcOrd="0" destOrd="0" presId="urn:microsoft.com/office/officeart/2005/8/layout/chart3"/>
    <dgm:cxn modelId="{AD1F673E-0FFE-46CC-9257-9482EBA6964F}" type="presOf" srcId="{7E0729EB-98BD-4AB4-B6B6-CA55DE25B2DD}" destId="{3DAF6296-7784-4998-ABC0-68DD0343CBAA}" srcOrd="1" destOrd="0" presId="urn:microsoft.com/office/officeart/2005/8/layout/chart3"/>
    <dgm:cxn modelId="{C5C9DC6F-3ECF-4BE3-A555-F322A0E6DBEB}" type="presOf" srcId="{685F491F-A197-4B05-B915-D9A72FB17C1B}" destId="{A65281BF-28D7-4EDB-877B-9DF18FC866E2}" srcOrd="0" destOrd="0" presId="urn:microsoft.com/office/officeart/2005/8/layout/chart3"/>
    <dgm:cxn modelId="{02DEA06E-AC4C-49AE-A52E-5FE47133B6B1}" type="presOf" srcId="{912F4D0D-D82D-424F-9E10-B251EC17D2C8}" destId="{92BCDADF-1813-4D47-9CDE-0A170A976859}" srcOrd="0" destOrd="0" presId="urn:microsoft.com/office/officeart/2005/8/layout/chart3"/>
    <dgm:cxn modelId="{7DB28AF3-981A-43C7-8D52-2ECEFBCD32E2}" srcId="{912F4D0D-D82D-424F-9E10-B251EC17D2C8}" destId="{685F491F-A197-4B05-B915-D9A72FB17C1B}" srcOrd="0" destOrd="0" parTransId="{3B2E69B8-190E-4EBD-8909-E5C8A86363F8}" sibTransId="{82E1D50E-BEA7-47B7-AFAB-DCCAE2E098D1}"/>
    <dgm:cxn modelId="{EC6C1567-E7C1-486B-95C8-8EE1765FEAFF}" type="presOf" srcId="{FDB650CB-C877-4526-BF41-7B4C8D85B84E}" destId="{E7B50507-E1EE-417A-85B8-F97978827727}" srcOrd="1" destOrd="0" presId="urn:microsoft.com/office/officeart/2005/8/layout/chart3"/>
    <dgm:cxn modelId="{A353168B-AD84-4A6A-9F77-E64D7B025092}" srcId="{912F4D0D-D82D-424F-9E10-B251EC17D2C8}" destId="{BF023788-98AE-4C3B-9414-B5434A6E71FA}" srcOrd="4" destOrd="0" parTransId="{1BD53B1B-4AD0-4586-AA97-BFFD3E292C12}" sibTransId="{3166D2ED-D5D3-440B-B2C6-B29292089A44}"/>
    <dgm:cxn modelId="{454F7E2A-420C-446A-8A44-D23A4C420B48}" type="presOf" srcId="{7E0729EB-98BD-4AB4-B6B6-CA55DE25B2DD}" destId="{79EC0BD2-01D6-44C0-8A77-039DEF3E5196}" srcOrd="0" destOrd="0" presId="urn:microsoft.com/office/officeart/2005/8/layout/chart3"/>
    <dgm:cxn modelId="{25528C69-4F96-42D4-B151-97E0901738F9}" type="presOf" srcId="{BF023788-98AE-4C3B-9414-B5434A6E71FA}" destId="{419B5E36-6BCA-4599-927C-8672FD16980A}" srcOrd="1" destOrd="0" presId="urn:microsoft.com/office/officeart/2005/8/layout/chart3"/>
    <dgm:cxn modelId="{50873EFD-4C39-4AF8-9581-8975E1AD467E}" type="presOf" srcId="{BF023788-98AE-4C3B-9414-B5434A6E71FA}" destId="{4EA385B0-650D-4915-B605-3095AB191DA2}" srcOrd="0" destOrd="0" presId="urn:microsoft.com/office/officeart/2005/8/layout/chart3"/>
    <dgm:cxn modelId="{325AE1DA-2F71-431F-BDF6-AD7A5C053472}" srcId="{912F4D0D-D82D-424F-9E10-B251EC17D2C8}" destId="{7E0729EB-98BD-4AB4-B6B6-CA55DE25B2DD}" srcOrd="3" destOrd="0" parTransId="{1E483F2E-74A3-47AB-924D-13F12D3155E7}" sibTransId="{2E442B8B-BF2C-4075-92EA-839EB6B9A2AF}"/>
    <dgm:cxn modelId="{C568B0AD-F83B-415C-94C7-E86F334B24E6}" type="presOf" srcId="{FDB650CB-C877-4526-BF41-7B4C8D85B84E}" destId="{E612EA50-23A1-4CF6-B1B1-DD89B8004717}" srcOrd="0" destOrd="0" presId="urn:microsoft.com/office/officeart/2005/8/layout/chart3"/>
    <dgm:cxn modelId="{711BCDD6-2C98-4877-A1E8-AB6B586A519F}" type="presOf" srcId="{0E95E4C8-DE5B-4C3C-BB53-E296B767D051}" destId="{A8A7E920-84A6-4FAE-AB36-4D4719EF5A76}" srcOrd="1" destOrd="0" presId="urn:microsoft.com/office/officeart/2005/8/layout/chart3"/>
    <dgm:cxn modelId="{4C74BF08-E95B-444C-8DDE-6D8753EEE9F1}" srcId="{912F4D0D-D82D-424F-9E10-B251EC17D2C8}" destId="{FDB650CB-C877-4526-BF41-7B4C8D85B84E}" srcOrd="1" destOrd="0" parTransId="{181CC2FC-ECF7-4EF3-B657-805B677404D1}" sibTransId="{FCF69A05-5EED-4EDE-9CF4-FD288898309D}"/>
    <dgm:cxn modelId="{CC2C0D87-2ACF-499E-A422-672F0BF0FB12}" type="presParOf" srcId="{92BCDADF-1813-4D47-9CDE-0A170A976859}" destId="{A65281BF-28D7-4EDB-877B-9DF18FC866E2}" srcOrd="0" destOrd="0" presId="urn:microsoft.com/office/officeart/2005/8/layout/chart3"/>
    <dgm:cxn modelId="{4F79F8F4-FD4F-4F3A-A75F-9C652FEA9597}" type="presParOf" srcId="{92BCDADF-1813-4D47-9CDE-0A170A976859}" destId="{D45AAEA5-EB3B-48FA-AE1D-4FDAACEE5BCB}" srcOrd="1" destOrd="0" presId="urn:microsoft.com/office/officeart/2005/8/layout/chart3"/>
    <dgm:cxn modelId="{984092C9-32F7-40EA-8DEC-CC1A296F0F2F}" type="presParOf" srcId="{92BCDADF-1813-4D47-9CDE-0A170A976859}" destId="{E612EA50-23A1-4CF6-B1B1-DD89B8004717}" srcOrd="2" destOrd="0" presId="urn:microsoft.com/office/officeart/2005/8/layout/chart3"/>
    <dgm:cxn modelId="{CFFFDAAF-D911-4872-8836-2E682302D62B}" type="presParOf" srcId="{92BCDADF-1813-4D47-9CDE-0A170A976859}" destId="{E7B50507-E1EE-417A-85B8-F97978827727}" srcOrd="3" destOrd="0" presId="urn:microsoft.com/office/officeart/2005/8/layout/chart3"/>
    <dgm:cxn modelId="{0A6263A0-7D7B-463E-A140-E0DDBCEE8B8D}" type="presParOf" srcId="{92BCDADF-1813-4D47-9CDE-0A170A976859}" destId="{0D90125B-E880-4415-B5B4-80721C3AA530}" srcOrd="4" destOrd="0" presId="urn:microsoft.com/office/officeart/2005/8/layout/chart3"/>
    <dgm:cxn modelId="{B509053A-B652-4AB0-8C9F-CE23F0C41691}" type="presParOf" srcId="{92BCDADF-1813-4D47-9CDE-0A170A976859}" destId="{A8A7E920-84A6-4FAE-AB36-4D4719EF5A76}" srcOrd="5" destOrd="0" presId="urn:microsoft.com/office/officeart/2005/8/layout/chart3"/>
    <dgm:cxn modelId="{BDBCDE34-99E9-4658-BD13-AF3D9D827926}" type="presParOf" srcId="{92BCDADF-1813-4D47-9CDE-0A170A976859}" destId="{79EC0BD2-01D6-44C0-8A77-039DEF3E5196}" srcOrd="6" destOrd="0" presId="urn:microsoft.com/office/officeart/2005/8/layout/chart3"/>
    <dgm:cxn modelId="{0F5FA23B-C659-450D-A6E3-36E6007D641C}" type="presParOf" srcId="{92BCDADF-1813-4D47-9CDE-0A170A976859}" destId="{3DAF6296-7784-4998-ABC0-68DD0343CBAA}" srcOrd="7" destOrd="0" presId="urn:microsoft.com/office/officeart/2005/8/layout/chart3"/>
    <dgm:cxn modelId="{1CBF8C6B-6B4B-4BB3-9267-6C8CAAD567FE}" type="presParOf" srcId="{92BCDADF-1813-4D47-9CDE-0A170A976859}" destId="{4EA385B0-650D-4915-B605-3095AB191DA2}" srcOrd="8" destOrd="0" presId="urn:microsoft.com/office/officeart/2005/8/layout/chart3"/>
    <dgm:cxn modelId="{DF420711-3D5F-4B04-B950-7535DEEBABC2}" type="presParOf" srcId="{92BCDADF-1813-4D47-9CDE-0A170A976859}" destId="{419B5E36-6BCA-4599-927C-8672FD16980A}" srcOrd="9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5281BF-28D7-4EDB-877B-9DF18FC866E2}">
      <dsp:nvSpPr>
        <dsp:cNvPr id="0" name=""/>
        <dsp:cNvSpPr/>
      </dsp:nvSpPr>
      <dsp:spPr>
        <a:xfrm>
          <a:off x="1336124" y="324323"/>
          <a:ext cx="2688336" cy="2688336"/>
        </a:xfrm>
        <a:prstGeom prst="pie">
          <a:avLst>
            <a:gd name="adj1" fmla="val 16200000"/>
            <a:gd name="adj2" fmla="val 205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Experiencing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Inquiry</a:t>
          </a:r>
        </a:p>
      </dsp:txBody>
      <dsp:txXfrm>
        <a:off x="2714217" y="725973"/>
        <a:ext cx="912114" cy="624078"/>
      </dsp:txXfrm>
    </dsp:sp>
    <dsp:sp modelId="{E612EA50-23A1-4CF6-B1B1-DD89B8004717}">
      <dsp:nvSpPr>
        <dsp:cNvPr id="0" name=""/>
        <dsp:cNvSpPr/>
      </dsp:nvSpPr>
      <dsp:spPr>
        <a:xfrm>
          <a:off x="1351986" y="320840"/>
          <a:ext cx="2688336" cy="2688336"/>
        </a:xfrm>
        <a:prstGeom prst="pie">
          <a:avLst>
            <a:gd name="adj1" fmla="val 20520000"/>
            <a:gd name="adj2" fmla="val 32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Engaging, Exploring &amp; Deepening Inquiry</a:t>
          </a:r>
        </a:p>
      </dsp:txBody>
      <dsp:txXfrm>
        <a:off x="3109005" y="1536992"/>
        <a:ext cx="800100" cy="675284"/>
      </dsp:txXfrm>
    </dsp:sp>
    <dsp:sp modelId="{0D90125B-E880-4415-B5B4-80721C3AA530}">
      <dsp:nvSpPr>
        <dsp:cNvPr id="0" name=""/>
        <dsp:cNvSpPr/>
      </dsp:nvSpPr>
      <dsp:spPr>
        <a:xfrm>
          <a:off x="1362255" y="331109"/>
          <a:ext cx="2688336" cy="2688336"/>
        </a:xfrm>
        <a:prstGeom prst="pie">
          <a:avLst>
            <a:gd name="adj1" fmla="val 3240000"/>
            <a:gd name="adj2" fmla="val 756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Designing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Inquiry I</a:t>
          </a:r>
        </a:p>
      </dsp:txBody>
      <dsp:txXfrm>
        <a:off x="2226363" y="2347361"/>
        <a:ext cx="960120" cy="576072"/>
      </dsp:txXfrm>
    </dsp:sp>
    <dsp:sp modelId="{79EC0BD2-01D6-44C0-8A77-039DEF3E5196}">
      <dsp:nvSpPr>
        <dsp:cNvPr id="0" name=""/>
        <dsp:cNvSpPr/>
      </dsp:nvSpPr>
      <dsp:spPr>
        <a:xfrm>
          <a:off x="1351986" y="320840"/>
          <a:ext cx="2688336" cy="2688336"/>
        </a:xfrm>
        <a:prstGeom prst="pie">
          <a:avLst>
            <a:gd name="adj1" fmla="val 7560000"/>
            <a:gd name="adj2" fmla="val 1188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Seeing &amp; Describing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Inquiry</a:t>
          </a:r>
        </a:p>
      </dsp:txBody>
      <dsp:txXfrm>
        <a:off x="1480002" y="1536992"/>
        <a:ext cx="800100" cy="675284"/>
      </dsp:txXfrm>
    </dsp:sp>
    <dsp:sp modelId="{4EA385B0-650D-4915-B605-3095AB191DA2}">
      <dsp:nvSpPr>
        <dsp:cNvPr id="0" name=""/>
        <dsp:cNvSpPr/>
      </dsp:nvSpPr>
      <dsp:spPr>
        <a:xfrm>
          <a:off x="1351986" y="320840"/>
          <a:ext cx="2688336" cy="2688336"/>
        </a:xfrm>
        <a:prstGeom prst="pie">
          <a:avLst>
            <a:gd name="adj1" fmla="val 1188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Documenting Inquiry</a:t>
          </a:r>
        </a:p>
      </dsp:txBody>
      <dsp:txXfrm>
        <a:off x="1744035" y="730491"/>
        <a:ext cx="912114" cy="624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cp:lastPrinted>2021-03-02T13:23:00Z</cp:lastPrinted>
  <dcterms:created xsi:type="dcterms:W3CDTF">2021-03-02T18:42:00Z</dcterms:created>
  <dcterms:modified xsi:type="dcterms:W3CDTF">2021-03-02T20:51:00Z</dcterms:modified>
</cp:coreProperties>
</file>